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Plan de Recuperación de Desastres (DRP) es el conjunto de procedimientos técnicos, responsables, recursos y evidencias que permiten recuperar los datos, infraestructura, aplicaciones y servicios críticos del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cuando un evento rebasa la capacidad de continuidad operativa normal y afecta la disponibilidad, integridad o seguridad del servicio.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Definir la estrategia de recuperación tecnológica que debe seguir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ante un desastre que afecte total o parcialmente la infraestructura del monedero electrónico de combustibles, especialmente los activos críticos alojados en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con el propósito de recuperar los procesos de autorización de transacciones y compensación/liquidación mediante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o mediante respaldos validados conforme a </w:t>
      </w:r>
      <w:r>
        <w:rPr>
          <w:rFonts w:ascii="Calibri" w:cs="Calibri" w:eastAsia="Calibri" w:hAnsi="Calibri"/>
          <w:b/>
          <w:bCs/>
          <w:color w:val="333333"/>
          <w:sz w:val="20"/>
          <w:szCs w:val="20"/>
        </w:rPr>
        <w:t xml:space="preserve">PO-SF-014</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Este DRP aplica a la infraestructura tecnológica, base de datos, aplicaciones, servicios, configuraciones, respaldos, registros, proveedores y personal que soportan el Software de Monedero Electrónico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Centro de datos principal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Centro de datos de respaldo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con infraestructura espejo en standby.</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Software de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Base de datos y registros transaccionales.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de red, seguridad, conectividad y comunicaciones.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Respaldos, restauraciones y evidencias operativas conforme a </w:t>
      </w:r>
      <w:r>
        <w:rPr>
          <w:rFonts w:ascii="Calibri" w:cs="Calibri" w:eastAsia="Calibri" w:hAnsi="Calibri"/>
          <w:b/>
          <w:bCs/>
          <w:color w:val="333333"/>
          <w:sz w:val="20"/>
          <w:szCs w:val="20"/>
        </w:rPr>
        <w:t xml:space="preserve">PO-SF-014.</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FO-SF-109 — FO-SF-109_Acta_de_prueba_DRP.docx</w:t>
      </w:r>
    </w:p>
    <w:p>
      <w:pPr>
        <w:spacing w:after="60" w:before="60" w:line="276"/>
      </w:pPr>
      <w:r>
        <w:rPr>
          <w:rFonts w:ascii="Calibri" w:cs="Calibri" w:eastAsia="Calibri" w:hAnsi="Calibri"/>
          <w:b w:val="false"/>
          <w:bCs w:val="false"/>
          <w:color w:val="333333"/>
          <w:sz w:val="20"/>
          <w:szCs w:val="20"/>
        </w:rPr>
        <w:t xml:space="preserve">• FO-SF-110 — FO-SF-110_Bitácora_de_activación_de_contingencia.docx</w:t>
      </w:r>
    </w:p>
    <w:p>
      <w:pPr>
        <w:spacing w:after="60" w:before="60" w:line="276"/>
      </w:pPr>
      <w:r>
        <w:rPr>
          <w:rFonts w:ascii="Calibri" w:cs="Calibri" w:eastAsia="Calibri" w:hAnsi="Calibri"/>
          <w:b w:val="false"/>
          <w:bCs w:val="false"/>
          <w:color w:val="333333"/>
          <w:sz w:val="20"/>
          <w:szCs w:val="20"/>
        </w:rPr>
        <w:t xml:space="preserve">• FO-SF-111 — FO-SF-111_Matriz_BIA_RTO_RPO.docx</w:t>
      </w:r>
    </w:p>
    <w:p>
      <w:pPr>
        <w:spacing w:after="60" w:before="60" w:line="276"/>
      </w:pPr>
      <w:r>
        <w:rPr>
          <w:rFonts w:ascii="Calibri" w:cs="Calibri" w:eastAsia="Calibri" w:hAnsi="Calibri"/>
          <w:b w:val="false"/>
          <w:bCs w:val="false"/>
          <w:color w:val="333333"/>
          <w:sz w:val="20"/>
          <w:szCs w:val="20"/>
        </w:rPr>
        <w:t xml:space="preserve">• FO-SF-112 — FO-SF-112_Registro_de_adecuaciones_BCP_DRP.docx</w:t>
      </w:r>
    </w:p>
    <w:p>
      <w:pPr>
        <w:spacing w:after="60" w:before="60" w:line="276"/>
      </w:pPr>
      <w:r>
        <w:rPr>
          <w:rFonts w:ascii="Calibri" w:cs="Calibri" w:eastAsia="Calibri" w:hAnsi="Calibri"/>
          <w:b w:val="false"/>
          <w:bCs w:val="false"/>
          <w:color w:val="333333"/>
          <w:sz w:val="20"/>
          <w:szCs w:val="20"/>
        </w:rPr>
        <w:t xml:space="preserve">• FO-SF-113 — FO-SF-113_Calendario_anual_de_pruebas_BCP_DRP.docx</w:t>
      </w:r>
    </w:p>
    <w:p>
      <w:pPr>
        <w:spacing w:after="60" w:before="60" w:line="276"/>
      </w:pPr>
      <w:r>
        <w:rPr>
          <w:rFonts w:ascii="Calibri" w:cs="Calibri" w:eastAsia="Calibri" w:hAnsi="Calibri"/>
          <w:b w:val="false"/>
          <w:bCs w:val="false"/>
          <w:color w:val="333333"/>
          <w:sz w:val="20"/>
          <w:szCs w:val="20"/>
        </w:rPr>
        <w:t xml:space="preserve">• EV-SF-006 — FO-SF-109_Acta_de_prueba_DRP_05-06-2026 (1).docx</w:t>
      </w:r>
    </w:p>
    <w:p>
      <w:pPr>
        <w:spacing w:after="60" w:before="60" w:line="276"/>
      </w:pPr>
      <w:r>
        <w:rPr>
          <w:rFonts w:ascii="Calibri" w:cs="Calibri" w:eastAsia="Calibri" w:hAnsi="Calibri"/>
          <w:b w:val="false"/>
          <w:bCs w:val="false"/>
          <w:color w:val="333333"/>
          <w:sz w:val="20"/>
          <w:szCs w:val="20"/>
        </w:rPr>
        <w:t xml:space="preserve">• EV-SF-007 — FO-SF-113_Calendario_anual_de_pruebas_BCP_DRP_Lleno_2026 (1).docx</w:t>
      </w:r>
    </w:p>
    <w:p>
      <w:pPr>
        <w:spacing w:after="60" w:before="60" w:line="276"/>
      </w:pPr>
      <w:r>
        <w:rPr>
          <w:rFonts w:ascii="Calibri" w:cs="Calibri" w:eastAsia="Calibri" w:hAnsi="Calibri"/>
          <w:b w:val="false"/>
          <w:bCs w:val="false"/>
          <w:color w:val="333333"/>
          <w:sz w:val="20"/>
          <w:szCs w:val="20"/>
        </w:rPr>
        <w:t xml:space="preserve">• req_59_DOC_SF_020.pdf</w:t>
      </w:r>
    </w:p>
    <w:p>
      <w:pPr>
        <w:spacing w:after="60" w:before="60" w:line="276"/>
      </w:pPr>
      <w:r>
        <w:rPr>
          <w:rFonts w:ascii="Calibri" w:cs="Calibri" w:eastAsia="Calibri" w:hAnsi="Calibri"/>
          <w:b w:val="false"/>
          <w:bCs w:val="false"/>
          <w:color w:val="333333"/>
          <w:sz w:val="20"/>
          <w:szCs w:val="20"/>
        </w:rPr>
        <w:t xml:space="preserve">• EV-SF-107 — ACTA DRP FIRMADO FINAL.pdf</w:t>
      </w:r>
    </w:p>
    <w:p>
      <w:r>
        <w:t xml:space="preserve"> </w:t>
      </w:r>
    </w:p>
    <w:p>
      <w:pPr>
        <w:pStyle w:val="Heading1"/>
        <w:pBdr>
          <w:bottom w:val="single" w:color="D9D9D9" w:sz="4" w:space="8"/>
        </w:pBdr>
        <w:spacing w:after="200" w:before="400" w:line="240"/>
      </w:pPr>
      <w:bookmarkStart w:name="section_5_descripcion_del_ambiente_actual" w:id="1"/>
      <w:r>
        <w:t xml:space="preserve"/>
      </w:r>
      <w:bookmarkEnd w:id="1"/>
      <w:r>
        <w:rPr>
          <w:rFonts w:ascii="Calibri" w:cs="Calibri" w:eastAsia="Calibri" w:hAnsi="Calibri"/>
          <w:b/>
          <w:bCs/>
          <w:color w:val="000000"/>
          <w:sz w:val="28"/>
          <w:szCs w:val="28"/>
        </w:rPr>
        <w:t xml:space="preserve">6. DESCRIPCIÓN DEL AMBIENTE ACTUAL</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El ambiente actual se compone del centro de datos principal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donde se alojan los activos críticos relacionados con 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y del centro de datos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 que mantiene infraestructura espejo en standby para escenarios de recuperación. Todos los activos ubicados en </w:t>
      </w:r>
      <w:r>
        <w:rPr>
          <w:rFonts w:ascii="Calibri" w:cs="Calibri" w:eastAsia="Calibri" w:hAnsi="Calibri"/>
          <w:b/>
          <w:bCs/>
          <w:color w:val="333333"/>
          <w:sz w:val="20"/>
          <w:szCs w:val="20"/>
        </w:rPr>
        <w:t xml:space="preserve">NGX </w:t>
      </w:r>
      <w:r>
        <w:rPr>
          <w:rFonts w:ascii="Calibri" w:cs="Calibri" w:eastAsia="Calibri" w:hAnsi="Calibri"/>
          <w:b w:val="false"/>
          <w:bCs w:val="false"/>
          <w:color w:val="333333"/>
          <w:sz w:val="20"/>
          <w:szCs w:val="20"/>
        </w:rPr>
        <w:t xml:space="preserve">se consideran críticos para efectos de continuidad y recuperación.</w:t>
      </w:r>
    </w:p>
    <w:p>
      <w:pPr>
        <w:spacing w:after="120" w:before="0" w:line="269"/>
        <w:jc w:val="both"/>
      </w:pPr>
      <w:r>
        <w:rPr>
          <w:rFonts w:ascii="Calibri" w:cs="Calibri" w:eastAsia="Calibri" w:hAnsi="Calibri"/>
          <w:b w:val="false"/>
          <w:bCs w:val="false"/>
          <w:color w:val="333333"/>
          <w:sz w:val="20"/>
          <w:szCs w:val="20"/>
        </w:rPr>
        <w:t xml:space="preserve">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soporta los procesos de autorización de transacciones y compensación/liquidación. Durante una contingencia o desastre, el objetivo es recuperar primero los componentes mínimos que permitan validar transacciones, preservar la integridad de saldos y mantener trazabilidad de la operación.</w:t>
      </w:r>
    </w:p>
    <w:p>
      <w:r>
        <w:t xml:space="preserve"> </w:t>
      </w:r>
    </w:p>
    <w:p>
      <w:pPr>
        <w:pStyle w:val="Heading1"/>
        <w:pBdr>
          <w:bottom w:val="single" w:color="D9D9D9" w:sz="4" w:space="8"/>
        </w:pBdr>
        <w:spacing w:after="200" w:before="400" w:line="240"/>
      </w:pPr>
      <w:bookmarkStart w:name="section_6_marco_de_referencia" w:id="1"/>
      <w:r>
        <w:t xml:space="preserve"/>
      </w:r>
      <w:bookmarkEnd w:id="1"/>
      <w:r>
        <w:rPr>
          <w:rFonts w:ascii="Calibri" w:cs="Calibri" w:eastAsia="Calibri" w:hAnsi="Calibri"/>
          <w:b/>
          <w:bCs/>
          <w:color w:val="000000"/>
          <w:sz w:val="28"/>
          <w:szCs w:val="28"/>
        </w:rPr>
        <w:t xml:space="preserve">7. MARCO DE REFERENCIA</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El DRP se apoya en la metodología de análisis de riesgos documentada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 en el marco de referencia NIST SP 800-30 para la identificación de amenazas, vulnerabilidades, probabilidad, impacto, controles, nivel de riesgo y tratamiento. También se toma como referencia metodológica NIST SP 800-34 para planes de contingencia de sistemas de información.</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3b73b9"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Fase</w:t>
            </w:r>
          </w:p>
        </w:tc>
        <w:tc>
          <w:tcPr>
            <w:tcW w:type="dxa" w:w="5120"/>
            <w:shd w:fill="3b73b9"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Aplicación en el DRP</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Caracterización del sistema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Identificación del Software de Monedero Electrónico, NGX, ASSETEL, base de datos, servicios de red y proveedores.</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Identificación de amenazas</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Uso de los catálogos DOC-SF-008 y DOC-SF-009.</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Identificación de vulnerabilidades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Relación de amenazas con activos y procesos críticos.</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Análisis de controles</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Uso de DOC-SF-013 y controles del Anexo 10.</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Determinación de riesgo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Uso de DOC-SF-010, DOC-SF-012, DOC-SF-014 y DOC-SF-015.</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Documentación de resultados</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Evidencia mediante FO-SF-109, FO-SF-110, FO-SF-112 y FO-SF-113.</w:t>
            </w:r>
          </w:p>
        </w:tc>
      </w:tr>
    </w:tbl>
    <w:p>
      <w:r>
        <w:rPr>
          <w:sz w:val="2"/>
          <w:szCs w:val="2"/>
        </w:rPr>
        <w:t xml:space="preserve"/>
      </w:r>
    </w:p>
    <w:p>
      <w:r>
        <w:t xml:space="preserve"> </w:t>
      </w:r>
    </w:p>
    <w:p>
      <w:pPr>
        <w:pStyle w:val="Heading1"/>
        <w:pBdr>
          <w:bottom w:val="single" w:color="D9D9D9" w:sz="4" w:space="8"/>
        </w:pBdr>
        <w:spacing w:after="200" w:before="400" w:line="240"/>
      </w:pPr>
      <w:bookmarkStart w:name="section_7_bia_mtd_rto_y_rpo" w:id="1"/>
      <w:r>
        <w:t xml:space="preserve"/>
      </w:r>
      <w:bookmarkEnd w:id="1"/>
      <w:r>
        <w:rPr>
          <w:rFonts w:ascii="Calibri" w:cs="Calibri" w:eastAsia="Calibri" w:hAnsi="Calibri"/>
          <w:b/>
          <w:bCs/>
          <w:color w:val="000000"/>
          <w:sz w:val="28"/>
          <w:szCs w:val="28"/>
        </w:rPr>
        <w:t xml:space="preserve">8. BIA, MTD, RTO Y RPO</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Con base en la criticidad del monedero,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adopta objetivos preliminares de recuperación enfocados en mantener una tolerancia conservadora para 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8_riesgos_relacionados" w:id="1"/>
      <w:r>
        <w:t xml:space="preserve"/>
      </w:r>
      <w:bookmarkEnd w:id="1"/>
      <w:r>
        <w:rPr>
          <w:rFonts w:ascii="Calibri" w:cs="Calibri" w:eastAsia="Calibri" w:hAnsi="Calibri"/>
          <w:b/>
          <w:bCs/>
          <w:color w:val="000000"/>
          <w:sz w:val="28"/>
          <w:szCs w:val="28"/>
        </w:rPr>
        <w:t xml:space="preserve">9. RIESGOS RELACIONADOS</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Los escenarios del DRP se vinculan con riesgos identificados en los archivos de análisis de riesgos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siguiente tabla resume riesgos relevantes para continuidad y recuperación.</w:t>
      </w:r>
    </w:p>
    <w:p>
      <w:r>
        <w:t xml:space="preserve"> </w:t>
      </w:r>
    </w:p>
    <w:p>
      <w:pPr>
        <w:pStyle w:val="Heading1"/>
        <w:pBdr>
          <w:bottom w:val="single" w:color="D9D9D9" w:sz="4" w:space="8"/>
        </w:pBdr>
        <w:spacing w:after="200" w:before="400" w:line="240"/>
      </w:pPr>
      <w:bookmarkStart w:name="section_9_escenarios_de_desastre" w:id="1"/>
      <w:r>
        <w:t xml:space="preserve"/>
      </w:r>
      <w:bookmarkEnd w:id="1"/>
      <w:r>
        <w:rPr>
          <w:rFonts w:ascii="Calibri" w:cs="Calibri" w:eastAsia="Calibri" w:hAnsi="Calibri"/>
          <w:b/>
          <w:bCs/>
          <w:color w:val="000000"/>
          <w:sz w:val="28"/>
          <w:szCs w:val="28"/>
        </w:rPr>
        <w:t xml:space="preserve">10. ESCENARIOS DE DESASTRE</w:t>
      </w:r>
    </w:p>
    <w:p>
      <w:r>
        <w:rPr>
          <w:sz w:val="2"/>
          <w:szCs w:val="2"/>
        </w:rPr>
        <w:t xml:space="preserve"/>
      </w:r>
    </w:p>
    <w:p>
      <w:r>
        <w:t xml:space="preserve"> </w:t>
      </w:r>
    </w:p>
    <w:p>
      <w:pPr>
        <w:pStyle w:val="Heading1"/>
        <w:pBdr>
          <w:bottom w:val="single" w:color="D9D9D9" w:sz="4" w:space="8"/>
        </w:pBdr>
        <w:spacing w:after="200" w:before="400" w:line="240"/>
      </w:pPr>
      <w:bookmarkStart w:name="section_10_roles_y_responsabilidades" w:id="1"/>
      <w:r>
        <w:t xml:space="preserve"/>
      </w:r>
      <w:bookmarkEnd w:id="1"/>
      <w:r>
        <w:rPr>
          <w:rFonts w:ascii="Calibri" w:cs="Calibri" w:eastAsia="Calibri" w:hAnsi="Calibri"/>
          <w:b/>
          <w:bCs/>
          <w:color w:val="000000"/>
          <w:sz w:val="28"/>
          <w:szCs w:val="28"/>
        </w:rPr>
        <w:t xml:space="preserve">11.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3b73b9"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shd w:fill="3b73b9"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 de </w:t>
            </w:r>
            <w:r>
              <w:rPr>
                <w:rFonts w:ascii="Calibri" w:cs="Calibri" w:eastAsia="Calibri" w:hAnsi="Calibri"/>
                <w:b/>
                <w:bCs/>
                <w:color w:val="333333"/>
                <w:sz w:val="18"/>
                <w:szCs w:val="18"/>
              </w:rPr>
              <w:t xml:space="preserve">SENDERO FUEL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Autoriza la activación del BCP/DRP, prioriza recursos, aprueba comunicación ejecutiva y valida el retorno a operación normal.</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MMTO.</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 actividades técnicas con proveedores, valida infraestructura NGX/ASSETEL, supervisa restauración y pruebas técnicas.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Preserva evidencia, controla bitácoras, valida medidas de seguridad, coordina clasificación de incidentes y acciones correctivas.</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Atención a Clientes</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 comunicación con clientes, beneficiarios y estaciones de servicio durante la contingencia.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Crédito y Cobranza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Da seguimiento a efectos de compensación, liquidación, saldos, conciliación y comunicación financiera.</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de TI</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Ejecuta actividades técnicas especializadas de infraestructura, respaldo, conectividad, restauración y soporte del Software de Monedero Electrónico.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1_protocolo_de_activacion_drp" w:id="1"/>
      <w:r>
        <w:t xml:space="preserve"/>
      </w:r>
      <w:bookmarkEnd w:id="1"/>
      <w:r>
        <w:rPr>
          <w:rFonts w:ascii="Calibri" w:cs="Calibri" w:eastAsia="Calibri" w:hAnsi="Calibri"/>
          <w:b/>
          <w:bCs/>
          <w:color w:val="000000"/>
          <w:sz w:val="28"/>
          <w:szCs w:val="28"/>
        </w:rPr>
        <w:t xml:space="preserve">12. PROTOCOLO DE ACTIVACIÓN DRP</w:t>
      </w:r>
    </w:p>
    <w:p>
      <w:r>
        <w:rPr>
          <w:sz w:val="2"/>
          <w:szCs w:val="2"/>
        </w:rPr>
        <w:t xml:space="preserve"/>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Detectar evento crítico que afecte NGX, base de datos, aplicación, almacenamiento, red, seguridad o integridad de información.</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Registrar hora inicial, impacto, evidencias y responsable en </w:t>
      </w:r>
      <w:r>
        <w:rPr>
          <w:rFonts w:ascii="Calibri" w:cs="Calibri" w:eastAsia="Calibri" w:hAnsi="Calibri"/>
          <w:b/>
          <w:bCs/>
          <w:color w:val="333333"/>
          <w:sz w:val="20"/>
          <w:szCs w:val="20"/>
        </w:rPr>
        <w:t xml:space="preserve">FO-SF-110.</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Convocar al comité BCP/DRP y al proveedor de TI autorizado.</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Determinar si el incidente puede resolverse con BCP o si debe declararse desastre.</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Declarar desastre cuando se rebasa la tolerancia operativa, existe riesgo de integridad de datos o se confirma indisponibilidad severa de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w:t>
      </w:r>
    </w:p>
    <w:p>
      <w:pPr>
        <w:spacing w:line="276"/>
        <w:ind w:left="360" w:hanging="0"/>
        <w:jc w:val="left"/>
      </w:pPr>
      <w:r>
        <w:rPr>
          <w:rFonts w:ascii="Calibri" w:cs="Calibri" w:eastAsia="Calibri" w:hAnsi="Calibri"/>
          <w:sz w:val="20"/>
          <w:szCs w:val="20"/>
        </w:rPr>
        <w:t xml:space="preserve">6.  </w:t>
      </w:r>
      <w:r>
        <w:rPr>
          <w:rFonts w:ascii="Calibri" w:cs="Calibri" w:eastAsia="Calibri" w:hAnsi="Calibri"/>
          <w:b w:val="false"/>
          <w:bCs w:val="false"/>
          <w:color w:val="333333"/>
          <w:sz w:val="20"/>
          <w:szCs w:val="20"/>
        </w:rPr>
        <w:t xml:space="preserve">Congelar cambios no esenciales, preservar evidencia y asegurar bitácoras.</w:t>
      </w:r>
    </w:p>
    <w:p>
      <w:pPr>
        <w:spacing w:line="276"/>
        <w:ind w:left="360" w:hanging="0"/>
        <w:jc w:val="left"/>
      </w:pPr>
      <w:r>
        <w:rPr>
          <w:rFonts w:ascii="Calibri" w:cs="Calibri" w:eastAsia="Calibri" w:hAnsi="Calibri"/>
          <w:sz w:val="20"/>
          <w:szCs w:val="20"/>
        </w:rPr>
        <w:t xml:space="preserve">7.  </w:t>
      </w:r>
      <w:r>
        <w:rPr>
          <w:rFonts w:ascii="Calibri" w:cs="Calibri" w:eastAsia="Calibri" w:hAnsi="Calibri"/>
          <w:b w:val="false"/>
          <w:bCs w:val="false"/>
          <w:color w:val="333333"/>
          <w:sz w:val="20"/>
          <w:szCs w:val="20"/>
        </w:rPr>
        <w:t xml:space="preserve">Activar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o restauración desde respaldos validados conforme a </w:t>
      </w:r>
      <w:r>
        <w:rPr>
          <w:rFonts w:ascii="Calibri" w:cs="Calibri" w:eastAsia="Calibri" w:hAnsi="Calibri"/>
          <w:b/>
          <w:bCs/>
          <w:color w:val="333333"/>
          <w:sz w:val="20"/>
          <w:szCs w:val="20"/>
        </w:rPr>
        <w:t xml:space="preserve">PO-SF-014.</w:t>
      </w:r>
    </w:p>
    <w:p>
      <w:pPr>
        <w:spacing w:line="276"/>
        <w:ind w:left="360" w:hanging="0"/>
        <w:jc w:val="left"/>
      </w:pPr>
      <w:r>
        <w:rPr>
          <w:rFonts w:ascii="Calibri" w:cs="Calibri" w:eastAsia="Calibri" w:hAnsi="Calibri"/>
          <w:sz w:val="20"/>
          <w:szCs w:val="20"/>
        </w:rPr>
        <w:t xml:space="preserve">8.  </w:t>
      </w:r>
      <w:r>
        <w:rPr>
          <w:rFonts w:ascii="Calibri" w:cs="Calibri" w:eastAsia="Calibri" w:hAnsi="Calibri"/>
          <w:b w:val="false"/>
          <w:bCs w:val="false"/>
          <w:color w:val="333333"/>
          <w:sz w:val="20"/>
          <w:szCs w:val="20"/>
        </w:rPr>
        <w:t xml:space="preserve">Ejecutar validaciones técnicas y funcionales antes de liberar el servicio.</w:t>
      </w:r>
    </w:p>
    <w:p>
      <w:pPr>
        <w:spacing w:line="276"/>
        <w:ind w:left="360" w:hanging="0"/>
        <w:jc w:val="left"/>
      </w:pPr>
      <w:r>
        <w:rPr>
          <w:rFonts w:ascii="Calibri" w:cs="Calibri" w:eastAsia="Calibri" w:hAnsi="Calibri"/>
          <w:sz w:val="20"/>
          <w:szCs w:val="20"/>
        </w:rPr>
        <w:t xml:space="preserve">9.  </w:t>
      </w:r>
      <w:r>
        <w:rPr>
          <w:rFonts w:ascii="Calibri" w:cs="Calibri" w:eastAsia="Calibri" w:hAnsi="Calibri"/>
          <w:b w:val="false"/>
          <w:bCs w:val="false"/>
          <w:color w:val="333333"/>
          <w:sz w:val="20"/>
          <w:szCs w:val="20"/>
        </w:rPr>
        <w:t xml:space="preserve">Documentar cierre, tiempos reales, desviaciones y adecuaciones.</w:t>
      </w:r>
    </w:p>
    <w:p>
      <w:r>
        <w:t xml:space="preserve"> </w:t>
      </w:r>
    </w:p>
    <w:p>
      <w:pPr>
        <w:pStyle w:val="Heading1"/>
        <w:pBdr>
          <w:bottom w:val="single" w:color="D9D9D9" w:sz="4" w:space="8"/>
        </w:pBdr>
        <w:spacing w:after="200" w:before="400" w:line="240"/>
      </w:pPr>
      <w:bookmarkStart w:name="section_12_procedimiento_de_recuperacion" w:id="1"/>
      <w:r>
        <w:t xml:space="preserve"/>
      </w:r>
      <w:bookmarkEnd w:id="1"/>
      <w:r>
        <w:rPr>
          <w:rFonts w:ascii="Calibri" w:cs="Calibri" w:eastAsia="Calibri" w:hAnsi="Calibri"/>
          <w:b/>
          <w:bCs/>
          <w:color w:val="000000"/>
          <w:sz w:val="28"/>
          <w:szCs w:val="28"/>
        </w:rPr>
        <w:t xml:space="preserve">13. PROCEDIMIENTO DE RECUPERACIÓN</w:t>
      </w:r>
    </w:p>
    <w:p>
      <w:r>
        <w:rPr>
          <w:sz w:val="2"/>
          <w:szCs w:val="2"/>
        </w:rPr>
        <w:t xml:space="preserve"/>
      </w:r>
    </w:p>
    <w:p>
      <w:r>
        <w:t xml:space="preserve"> </w:t>
      </w:r>
    </w:p>
    <w:p>
      <w:pPr>
        <w:pStyle w:val="Heading1"/>
        <w:pBdr>
          <w:bottom w:val="single" w:color="D9D9D9" w:sz="4" w:space="8"/>
        </w:pBdr>
        <w:spacing w:after="200" w:before="400" w:line="240"/>
      </w:pPr>
      <w:bookmarkStart w:name="section_13_validacion_y_retorno_a_operacion_normal" w:id="1"/>
      <w:r>
        <w:t xml:space="preserve"/>
      </w:r>
      <w:bookmarkEnd w:id="1"/>
      <w:r>
        <w:rPr>
          <w:rFonts w:ascii="Calibri" w:cs="Calibri" w:eastAsia="Calibri" w:hAnsi="Calibri"/>
          <w:b/>
          <w:bCs/>
          <w:color w:val="000000"/>
          <w:sz w:val="28"/>
          <w:szCs w:val="28"/>
        </w:rPr>
        <w:t xml:space="preserve">14. VALIDACIÓN Y RETORNO A OPERACIÓN NORMAL</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Confirmar que el </w:t>
      </w:r>
      <w:r>
        <w:rPr>
          <w:rFonts w:ascii="Calibri" w:cs="Calibri" w:eastAsia="Calibri" w:hAnsi="Calibri"/>
          <w:b/>
          <w:bCs/>
          <w:color w:val="333333"/>
          <w:sz w:val="20"/>
          <w:szCs w:val="20"/>
        </w:rPr>
        <w:t xml:space="preserve">Software de Monedero Electrónico </w:t>
      </w:r>
      <w:r>
        <w:rPr>
          <w:rFonts w:ascii="Calibri" w:cs="Calibri" w:eastAsia="Calibri" w:hAnsi="Calibri"/>
          <w:b w:val="false"/>
          <w:bCs w:val="false"/>
          <w:color w:val="333333"/>
          <w:sz w:val="20"/>
          <w:szCs w:val="20"/>
        </w:rPr>
        <w:t xml:space="preserve">permite autorización de transacciones.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Confirmar consistencia de saldos, transacciones pendientes, autorizaciones, rechazos y movimientos de compensación/liquidación.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Validar generación y protección de registros de actividad.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Validar que respaldos posteriores al restablecimiento se ejecuten y documenten.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Autorizar formalmente retorno a </w:t>
      </w:r>
      <w:r>
        <w:rPr>
          <w:rFonts w:ascii="Calibri" w:cs="Calibri" w:eastAsia="Calibri" w:hAnsi="Calibri"/>
          <w:b/>
          <w:bCs/>
          <w:color w:val="333333"/>
          <w:sz w:val="20"/>
          <w:szCs w:val="20"/>
        </w:rPr>
        <w:t xml:space="preserve">NGX </w:t>
      </w:r>
      <w:r>
        <w:rPr>
          <w:rFonts w:ascii="Calibri" w:cs="Calibri" w:eastAsia="Calibri" w:hAnsi="Calibri"/>
          <w:b w:val="false"/>
          <w:bCs w:val="false"/>
          <w:color w:val="333333"/>
          <w:sz w:val="20"/>
          <w:szCs w:val="20"/>
        </w:rPr>
        <w:t xml:space="preserve">o permanencia temporal en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 acciones correctivas y actualizaciones al DRP.</w:t>
      </w:r>
    </w:p>
    <w:p>
      <w:r>
        <w:t xml:space="preserve"> </w:t>
      </w:r>
    </w:p>
    <w:p>
      <w:pPr>
        <w:pStyle w:val="Heading1"/>
        <w:pBdr>
          <w:bottom w:val="single" w:color="D9D9D9" w:sz="4" w:space="8"/>
        </w:pBdr>
        <w:spacing w:after="200" w:before="400" w:line="240"/>
      </w:pPr>
      <w:bookmarkStart w:name="section_14_pruebas_adecuaciones_y_revision" w:id="1"/>
      <w:r>
        <w:t xml:space="preserve"/>
      </w:r>
      <w:bookmarkEnd w:id="1"/>
      <w:r>
        <w:rPr>
          <w:rFonts w:ascii="Calibri" w:cs="Calibri" w:eastAsia="Calibri" w:hAnsi="Calibri"/>
          <w:b/>
          <w:bCs/>
          <w:color w:val="000000"/>
          <w:sz w:val="28"/>
          <w:szCs w:val="28"/>
        </w:rPr>
        <w:t xml:space="preserve">15. PRUEBAS, ADECUACIONES Y REVISIÓN</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El DRP deberá probarse al menos semestralmente y después de cambios relevantes en infraestructura </w:t>
      </w:r>
      <w:r>
        <w:rPr>
          <w:rFonts w:ascii="Calibri" w:cs="Calibri" w:eastAsia="Calibri" w:hAnsi="Calibri"/>
          <w:b/>
          <w:bCs/>
          <w:color w:val="333333"/>
          <w:sz w:val="20"/>
          <w:szCs w:val="20"/>
        </w:rPr>
        <w:t xml:space="preserve">NGX/ASSETE</w:t>
      </w:r>
      <w:r>
        <w:rPr>
          <w:rFonts w:ascii="Calibri" w:cs="Calibri" w:eastAsia="Calibri" w:hAnsi="Calibri"/>
          <w:b w:val="false"/>
          <w:bCs w:val="false"/>
          <w:color w:val="333333"/>
          <w:sz w:val="20"/>
          <w:szCs w:val="20"/>
        </w:rPr>
        <w:t xml:space="preserve">L, respaldos, sistemas, base de datos, comunicaciones o proveedores. Las pruebas deberán diseñarse para no afectar la operación productiva sin autorización formal.</w:t>
      </w:r>
    </w:p>
    <w:p>
      <w:r>
        <w:t xml:space="preserve"> </w:t>
      </w:r>
    </w:p>
    <w:p>
      <w:r>
        <w:br w:type="page"/>
      </w:r>
    </w:p>
    <w:p>
      <w:pPr>
        <w:pStyle w:val="Heading1"/>
        <w:pBdr>
          <w:bottom w:val="single" w:color="D9D9D9" w:sz="4" w:space="8"/>
        </w:pBdr>
        <w:spacing w:after="200" w:before="400" w:line="240"/>
      </w:pPr>
      <w:bookmarkStart w:name="section_15_glosario" w:id="1"/>
      <w:r>
        <w:rPr>
          <w:rFonts w:ascii="Calibri" w:cs="Calibri" w:eastAsia="Calibri" w:hAnsi="Calibri"/>
          <w:b/>
          <w:bCs/>
          <w:color w:val="000000"/>
          <w:sz w:val="28"/>
          <w:szCs w:val="28"/>
        </w:rPr>
        <w:t xml:space="preserve">16.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DOC-SF-020</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Plan de Recuperación de Desastres (DRP)</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18/9/2026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DOC-SF-020</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Plan de Recuperación de Desastres (DRP)</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18/9/2026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Recuperacin de Desastres DRP</dc:title>
  <dc:subject>Documento</dc:subject>
  <dc:creator>Administrador MAPLINKS</dc:creator>
  <cp:keywords>DOC-SF-020</cp:keywords>
  <dc:description>Documento DOC-SF-020</dc:description>
  <cp:lastModifiedBy>Administrador MAPLINKS</cp:lastModifiedBy>
  <cp:revision>1</cp:revision>
  <dcterms:created xsi:type="dcterms:W3CDTF">2026-09-30T21:33:51.124Z</dcterms:created>
  <dcterms:modified xsi:type="dcterms:W3CDTF">2026-09-30T21:33:51.124Z</dcterms:modified>
</cp:coreProperties>
</file>

<file path=docProps/custom.xml><?xml version="1.0" encoding="utf-8"?>
<Properties xmlns="http://schemas.openxmlformats.org/officeDocument/2006/custom-properties" xmlns:vt="http://schemas.openxmlformats.org/officeDocument/2006/docPropsVTypes"/>
</file>