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1. DATOS GENERALES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Campo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Detalle</w:t>
            </w:r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Folio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Fecha de actualización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Responsable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Versión de BIA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Aprobado por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2. MATRIZ BIA / RTO / RPO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32"/>
        <w:gridCol w:w="1332"/>
        <w:gridCol w:w="1332"/>
        <w:gridCol w:w="1332"/>
        <w:gridCol w:w="1332"/>
        <w:gridCol w:w="1332"/>
        <w:gridCol w:w="1332"/>
        <w:gridCol w:w="1332"/>
      </w:tblGrid>
      <w:tr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Proceso crítico</w:t>
            </w:r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Sistema / activo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Dependencias</w:t>
            </w:r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Impacto</w:t>
            </w:r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RTO</w:t>
            </w:r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RPO</w:t>
            </w:r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Criticidad</w:t>
            </w:r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Responsable</w:t>
            </w:r>
          </w:p>
        </w:tc>
      </w:tr>
      <w:tr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Autorización de transacciones</w:t>
            </w:r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Software de Monedero Electrónico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NGX / ASSETEL standby</w:t>
            </w:r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Clientes, beneficiarios, estaciones de servicio</w:t>
            </w:r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No autorización de consumo de combustible y afectación directa del servicio.</w:t>
            </w:r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1 hora</w:t>
            </w:r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30 minutos</w:t>
            </w:r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Crítico</w:t>
            </w:r>
          </w:p>
        </w:tc>
      </w:tr>
      <w:tr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Compensación / liquidación</w:t>
            </w:r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Software de Monedero Electrónico y base de datos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NGX / ASSETEL standby</w:t>
            </w:r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Clientes, estaciones de servicio, administración</w:t>
            </w:r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Retrasos en conciliación, liquidación y registros operativos.</w:t>
            </w:r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1 hora</w:t>
            </w:r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30 minutos</w:t>
            </w:r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Crítico</w:t>
            </w:r>
          </w:p>
        </w:tc>
      </w:tr>
      <w:tr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Atención a clientes y estaciones</w:t>
            </w:r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Canales de soporte, correo y mesa de ayuda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Trabajo remoto / oficina alterna</w:t>
            </w:r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Clientes, beneficiarios, estaciones de servicio</w:t>
            </w:r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Retraso en atención, escalamiento e información de contingencia.</w:t>
            </w:r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4 horas</w:t>
            </w:r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1 hora</w:t>
            </w:r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Alto</w:t>
            </w:r>
          </w:p>
        </w:tc>
      </w:tr>
      <w:tr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Administración de monederos</w:t>
            </w:r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Aplicación y base de datos del monedero</w:t>
            </w:r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NGX / ASSETEL standby</w:t>
            </w:r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Clientes y beneficiarios</w:t>
            </w:r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Demora en altas, bajas, cambios de beneficiarios/vehículos y administración operativa.</w:t>
            </w:r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4 horas</w:t>
            </w:r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1 hora</w:t>
            </w:r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Alto</w:t>
            </w:r>
          </w:p>
        </w:tc>
      </w:tr>
      <w:tr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72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00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5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3. APROBACIÓN</w:t>
      </w:r>
    </w:p>
    <w:p>
      <w:pPr>
        <w:spacing w:after="120" w:line="269" w:lineRule="auto"/>
      </w:pPr>
      <w:r>
        <w:rPr>
          <w:rFonts w:ascii="Calibri" w:hAnsi="Calibri" w:eastAsia="Calibri"/>
          <w:sz w:val="20"/>
        </w:rPr>
        <w:t>Los valores de RTO/RPO deberán revisarse al menos semestralmente o cuando existan cambios relevantes en infraestructura, procesos, proveedores, riesgos o resultados de pruebas.</w:t>
      </w: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FIRMAS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6"/>
              </w:rPr>
              <w:t>Elaboró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6"/>
              </w:rPr>
              <w:t>Revisó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6"/>
              </w:rPr>
              <w:t>Autorizó</w:t>
            </w:r>
          </w:p>
        </w:tc>
      </w:tr>
      <w:tr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6"/>
              </w:rPr>
              <w:t>Nombre / cargo / firma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6"/>
              </w:rPr>
              <w:t>Nombre / cargo / firma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6"/>
              </w:rPr>
              <w:t>Nombre / cargo / firma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sz w:val="13"/>
      </w:rPr>
      <w:t xml:space="preserve">El contenido de este documento pertenece enteramente a </w:t>
    </w:r>
    <w:r>
      <w:rPr>
        <w:rFonts w:ascii="Calibri" w:hAnsi="Calibri" w:eastAsia="Calibri"/>
        <w:b/>
        <w:sz w:val="13"/>
      </w:rPr>
      <w:t>SENDERO FUEL</w:t>
    </w:r>
    <w:r>
      <w:rPr>
        <w:rFonts w:ascii="Calibri" w:hAnsi="Calibri" w:eastAsia="Calibri"/>
        <w:sz w:val="13"/>
      </w:rPr>
      <w:t xml:space="preserve"> S.A. DE C.V. y es de carácter estrictamente confidencial. Este material deberá permanecer en todo momento en el ambiente interno de </w:t>
    </w:r>
    <w:r>
      <w:rPr>
        <w:rFonts w:ascii="Calibri" w:hAnsi="Calibri" w:eastAsia="Calibri"/>
        <w:b/>
        <w:sz w:val="13"/>
      </w:rPr>
      <w:t>SENDERO FUEL</w:t>
    </w:r>
    <w:r>
      <w:rPr>
        <w:rFonts w:ascii="Calibri" w:hAnsi="Calibri" w:eastAsia="Calibri"/>
        <w:sz w:val="13"/>
      </w:rPr>
      <w:t xml:space="preserve"> S.A. DE C.V.</w:t>
      <w:br/>
    </w:r>
    <w:r>
      <w:rPr>
        <w:rFonts w:ascii="Calibri" w:hAnsi="Calibri" w:eastAsia="Calibri"/>
        <w:b/>
        <w:sz w:val="13"/>
      </w:rPr>
      <w:t>SENDERO FUEL</w:t>
    </w:r>
    <w:r>
      <w:rPr>
        <w:rFonts w:ascii="Calibri" w:hAnsi="Calibri" w:eastAsia="Calibri"/>
        <w:sz w:val="13"/>
      </w:rPr>
      <w:t xml:space="preserve"> S.A. DE C.V. podrá ejercer acción legal en contra de el o los individuos que hagan uso indebido de la información contenida en este documento, o que hayan facilitado dicho uso indebido.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Style w:val="TableGrid"/>
      <w:tblW w:type="auto" w:w="0"/>
      <w:jc w:val="center"/>
      <w:tblLook w:firstColumn="1" w:firstRow="1" w:lastColumn="0" w:lastRow="0" w:noHBand="0" w:noVBand="1" w:val="04A0"/>
    </w:tblPr>
    <w:tblGrid>
      <w:gridCol w:w="1812"/>
      <w:gridCol w:w="1812"/>
      <w:gridCol w:w="1812"/>
      <w:gridCol w:w="1812"/>
      <w:gridCol w:w="1812"/>
      <w:gridCol w:w="1812"/>
    </w:tblGrid>
    <w:tr>
      <w:tc>
        <w:tcPr>
          <w:tcW w:type="dxa" w:w="1944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b/>
              <w:color w:val="000000"/>
              <w:sz w:val="18"/>
            </w:rPr>
            <w:t>FO-SF-111</w:t>
          </w:r>
        </w:p>
      </w:tc>
      <w:tc>
        <w:tcPr>
          <w:tcW w:type="dxa" w:w="799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4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b/>
              <w:color w:val="000000"/>
              <w:sz w:val="20"/>
            </w:rPr>
            <w:t>Matriz BIA RTO RPO</w:t>
          </w:r>
        </w:p>
      </w:tc>
      <w:tc>
        <w:tcPr>
          <w:tcW w:type="dxa" w:w="151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vMerge w:val="restart"/>
          <w:tcMar>
            <w:top w:w="60" w:type="dxa"/>
            <w:start w:w="60" w:type="dxa"/>
            <w:bottom w:w="60" w:type="dxa"/>
            <w:end w:w="60" w:type="dxa"/>
          </w:tcMar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502920" cy="45133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endero_icon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45133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jc w:val="center"/>
          </w:pPr>
          <w:r>
            <w:rPr>
              <w:rFonts w:ascii="Calibri" w:hAnsi="Calibri" w:eastAsia="Calibri"/>
              <w:b/>
              <w:sz w:val="16"/>
            </w:rPr>
            <w:t>SENDERO FUEL</w:t>
          </w:r>
        </w:p>
      </w:tc>
    </w:tr>
    <w:tr>
      <w:tc>
        <w:tcPr>
          <w:tcW w:type="dxa" w:w="4176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2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color w:val="000000"/>
              <w:sz w:val="18"/>
            </w:rPr>
            <w:t>Emisión: 03/06/2026</w:t>
          </w:r>
        </w:p>
      </w:tc>
      <w:tc>
        <w:tcPr>
          <w:tcW w:type="dxa" w:w="403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2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color w:val="000000"/>
              <w:sz w:val="18"/>
            </w:rPr>
            <w:t>Revisión: 03/06/2026</w:t>
          </w:r>
        </w:p>
      </w:tc>
      <w:tc>
        <w:tcPr>
          <w:tcW w:type="dxa" w:w="1728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color w:val="000000"/>
              <w:sz w:val="18"/>
            </w:rPr>
            <w:t>Versión: 1</w:t>
          </w:r>
        </w:p>
      </w:tc>
      <w:tc>
        <w:tcPr>
          <w:tcW w:type="dxa" w:w="151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vMerge/>
          <w:tcMar>
            <w:top w:w="60" w:type="dxa"/>
            <w:start w:w="60" w:type="dxa"/>
            <w:bottom w:w="60" w:type="dxa"/>
            <w:end w:w="60" w:type="dxa"/>
          </w:tcMar>
        </w:tcPr>
        <w:p/>
      </w:tc>
    </w:tr>
    <w:tr>
      <w:tc>
        <w:tcPr>
          <w:tcW w:type="dxa" w:w="9936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5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left"/>
          </w:pPr>
          <w:r/>
          <w:r>
            <w:rPr>
              <w:rFonts w:ascii="Calibri" w:hAnsi="Calibri" w:eastAsia="Calibri"/>
              <w:color w:val="000000"/>
              <w:sz w:val="18"/>
            </w:rPr>
            <w:t>Área: CONTROL INTERNO</w:t>
          </w:r>
        </w:p>
      </w:tc>
      <w:tc>
        <w:tcPr>
          <w:tcW w:type="dxa" w:w="151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vMerge/>
          <w:tcMar>
            <w:top w:w="60" w:type="dxa"/>
            <w:start w:w="60" w:type="dxa"/>
            <w:bottom w:w="60" w:type="dxa"/>
            <w:end w:w="60" w:type="dxa"/>
          </w:tcMar>
        </w:tcPr>
        <w:p/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A2A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Calibri" w:hAnsi="Calibri"/>
      <w:color w:val="646464"/>
      <w:sz w:val="1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