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8/6/2026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8/6/2026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69"/>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el Plan de Continuidad del Negocio (BCP) es el conjunto de estrategias, responsables, procedimientos y evidencias que permiten mantener o restablecer los procesos críticos del monedero electrónico de combustibles ante eventos que afecten la operación normal, sin que necesariamente exista un desastre tecnológico declarado.</w:t>
      </w:r>
    </w:p>
    <w:p>
      <w:pPr>
        <w:spacing w:after="120" w:before="0" w:line="269"/>
        <w:jc w:val="left"/>
      </w:pPr>
      <w:r>
        <w:rPr>
          <w:rFonts w:ascii="Calibri" w:cs="Calibri" w:eastAsia="Calibri" w:hAnsi="Calibri"/>
          <w:b w:val="false"/>
          <w:bCs w:val="false"/>
          <w:color w:val="333333"/>
          <w:sz w:val="20"/>
          <w:szCs w:val="20"/>
        </w:rPr>
        <w:t xml:space="preserve">El BCP se enfoca en preservar la continuidad de la autorización de transacciones y la compensación/liquidación, así como en mantener la comunicación, atención y control operativo durante una contingencia.</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69"/>
        <w:jc w:val="both"/>
      </w:pPr>
      <w:r>
        <w:rPr>
          <w:rFonts w:ascii="Calibri" w:cs="Calibri" w:eastAsia="Calibri" w:hAnsi="Calibri"/>
          <w:b w:val="false"/>
          <w:bCs w:val="false"/>
          <w:color w:val="333333"/>
          <w:sz w:val="20"/>
          <w:szCs w:val="20"/>
        </w:rPr>
        <w:t xml:space="preserve">Establecer el marco de actuación para que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responda oportunamente ante contingencias que puedan afectar la operación del </w:t>
      </w:r>
      <w:r>
        <w:rPr>
          <w:rFonts w:ascii="Calibri" w:cs="Calibri" w:eastAsia="Calibri" w:hAnsi="Calibri"/>
          <w:b/>
          <w:bCs/>
          <w:color w:val="333333"/>
          <w:sz w:val="20"/>
          <w:szCs w:val="20"/>
        </w:rPr>
        <w:t xml:space="preserve">Software de Monedero Electrónico</w:t>
      </w:r>
      <w:r>
        <w:rPr>
          <w:rFonts w:ascii="Calibri" w:cs="Calibri" w:eastAsia="Calibri" w:hAnsi="Calibri"/>
          <w:b w:val="false"/>
          <w:bCs w:val="false"/>
          <w:color w:val="333333"/>
          <w:sz w:val="20"/>
          <w:szCs w:val="20"/>
        </w:rPr>
        <w:t xml:space="preserve">, manteniendo o restableciendo los procesos críticos dentro de los tiempos definidos por la organización.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Reducir el impacto operativo, contractual, reputacional y regulatorio ante interrupciones.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Definir escenarios, roles, responsabilidades y protocolos de respuesta.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Documentar pruebas, resultados, adecuaciones y revisión periódica del BCP.</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Alinear la continuidad operativa con el Anexo 10 de la RMF 2026.</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69"/>
        <w:jc w:val="both"/>
      </w:pPr>
      <w:r>
        <w:rPr>
          <w:rFonts w:ascii="Calibri" w:cs="Calibri" w:eastAsia="Calibri" w:hAnsi="Calibri"/>
          <w:b w:val="false"/>
          <w:bCs w:val="false"/>
          <w:color w:val="333333"/>
          <w:sz w:val="20"/>
          <w:szCs w:val="20"/>
        </w:rPr>
        <w:t xml:space="preserve">El presente BCP aplica a colaboradores, proveedores, sistemas, activos, instalaciones, procesos y terceros que intervienen en la operación del monedero electrónico de combustibles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Autorización de transacciones del monedero electrónico.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Compensación y liquidación de operaciones.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Atención a clientes, beneficiarios y estaciones de servicio.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Activos críticos ubicados en el centro de datos </w:t>
      </w:r>
      <w:r>
        <w:rPr>
          <w:rFonts w:ascii="Calibri" w:cs="Calibri" w:eastAsia="Calibri" w:hAnsi="Calibri"/>
          <w:b/>
          <w:bCs/>
          <w:color w:val="333333"/>
          <w:sz w:val="20"/>
          <w:szCs w:val="20"/>
        </w:rPr>
        <w:t xml:space="preserve">NGX</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Infraestructura espejo de respaldo ubicada en </w:t>
      </w:r>
      <w:r>
        <w:rPr>
          <w:rFonts w:ascii="Calibri" w:cs="Calibri" w:eastAsia="Calibri" w:hAnsi="Calibri"/>
          <w:b/>
          <w:bCs/>
          <w:color w:val="333333"/>
          <w:sz w:val="20"/>
          <w:szCs w:val="20"/>
        </w:rPr>
        <w:t xml:space="preserve">ASSETEL</w:t>
      </w:r>
      <w:r>
        <w:rPr>
          <w:rFonts w:ascii="Calibri" w:cs="Calibri" w:eastAsia="Calibri" w:hAnsi="Calibri"/>
          <w:b w:val="false"/>
          <w:bCs w:val="false"/>
          <w:color w:val="333333"/>
          <w:sz w:val="20"/>
          <w:szCs w:val="20"/>
        </w:rPr>
        <w:t xml:space="preserve">, en modalidad standby.</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Respaldos, bitácoras, registros y evidencia de continuidad relacionados con </w:t>
      </w:r>
      <w:r>
        <w:rPr>
          <w:rFonts w:ascii="Calibri" w:cs="Calibri" w:eastAsia="Calibri" w:hAnsi="Calibri"/>
          <w:b/>
          <w:bCs/>
          <w:color w:val="333333"/>
          <w:sz w:val="20"/>
          <w:szCs w:val="20"/>
        </w:rPr>
        <w:t xml:space="preserve">PO-SF-014</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FO-SF-108 — FO-SF-108_Acta_de_prueba_BCP.docx</w:t>
      </w:r>
    </w:p>
    <w:p>
      <w:pPr>
        <w:spacing w:after="60" w:before="60" w:line="276"/>
      </w:pPr>
      <w:r>
        <w:rPr>
          <w:rFonts w:ascii="Calibri" w:cs="Calibri" w:eastAsia="Calibri" w:hAnsi="Calibri"/>
          <w:b w:val="false"/>
          <w:bCs w:val="false"/>
          <w:color w:val="333333"/>
          <w:sz w:val="20"/>
          <w:szCs w:val="20"/>
        </w:rPr>
        <w:t xml:space="preserve">• EV-SF-008 — FO-SF-108_Acta_de_prueba_BCP_05-06-2026 (1).docx</w:t>
      </w:r>
    </w:p>
    <w:p>
      <w:pPr>
        <w:spacing w:after="60" w:before="60" w:line="276"/>
      </w:pPr>
      <w:r>
        <w:rPr>
          <w:rFonts w:ascii="Calibri" w:cs="Calibri" w:eastAsia="Calibri" w:hAnsi="Calibri"/>
          <w:b w:val="false"/>
          <w:bCs w:val="false"/>
          <w:color w:val="333333"/>
          <w:sz w:val="20"/>
          <w:szCs w:val="20"/>
        </w:rPr>
        <w:t xml:space="preserve">• FO-SF-110 — FO-SF-110_Bitácora_de_activación_de_contingencia.docx</w:t>
      </w:r>
    </w:p>
    <w:p>
      <w:pPr>
        <w:spacing w:after="60" w:before="60" w:line="276"/>
      </w:pPr>
      <w:r>
        <w:rPr>
          <w:rFonts w:ascii="Calibri" w:cs="Calibri" w:eastAsia="Calibri" w:hAnsi="Calibri"/>
          <w:b w:val="false"/>
          <w:bCs w:val="false"/>
          <w:color w:val="333333"/>
          <w:sz w:val="20"/>
          <w:szCs w:val="20"/>
        </w:rPr>
        <w:t xml:space="preserve">• FO-SF-111 — FO-SF-111_Matriz_BIA_RTO_RPO.docx</w:t>
      </w:r>
    </w:p>
    <w:p>
      <w:pPr>
        <w:spacing w:after="60" w:before="60" w:line="276"/>
      </w:pPr>
      <w:r>
        <w:rPr>
          <w:rFonts w:ascii="Calibri" w:cs="Calibri" w:eastAsia="Calibri" w:hAnsi="Calibri"/>
          <w:b w:val="false"/>
          <w:bCs w:val="false"/>
          <w:color w:val="333333"/>
          <w:sz w:val="20"/>
          <w:szCs w:val="20"/>
        </w:rPr>
        <w:t xml:space="preserve">• FO-SF-112 — FO-SF-112_Registro_de_adecuaciones_BCP_DRP.docx</w:t>
      </w:r>
    </w:p>
    <w:p>
      <w:pPr>
        <w:spacing w:after="60" w:before="60" w:line="276"/>
      </w:pPr>
      <w:r>
        <w:rPr>
          <w:rFonts w:ascii="Calibri" w:cs="Calibri" w:eastAsia="Calibri" w:hAnsi="Calibri"/>
          <w:b w:val="false"/>
          <w:bCs w:val="false"/>
          <w:color w:val="333333"/>
          <w:sz w:val="20"/>
          <w:szCs w:val="20"/>
        </w:rPr>
        <w:t xml:space="preserve">• FO-SF-113 — FO-SF-113_Calendario_anual_de_pruebas_BCP_DRP.docx</w:t>
      </w:r>
    </w:p>
    <w:p>
      <w:pPr>
        <w:spacing w:after="60" w:before="60" w:line="276"/>
      </w:pPr>
      <w:r>
        <w:rPr>
          <w:rFonts w:ascii="Calibri" w:cs="Calibri" w:eastAsia="Calibri" w:hAnsi="Calibri"/>
          <w:b w:val="false"/>
          <w:bCs w:val="false"/>
          <w:color w:val="333333"/>
          <w:sz w:val="20"/>
          <w:szCs w:val="20"/>
        </w:rPr>
        <w:t xml:space="preserve">• EV-SF-007 — FO-SF-113_Calendario_anual_de_pruebas_BCP_DRP_Lleno_2026 (1).docx</w:t>
      </w:r>
    </w:p>
    <w:p>
      <w:pPr>
        <w:spacing w:after="60" w:before="60" w:line="276"/>
      </w:pPr>
      <w:r>
        <w:rPr>
          <w:rFonts w:ascii="Calibri" w:cs="Calibri" w:eastAsia="Calibri" w:hAnsi="Calibri"/>
          <w:b w:val="false"/>
          <w:bCs w:val="false"/>
          <w:color w:val="333333"/>
          <w:sz w:val="20"/>
          <w:szCs w:val="20"/>
        </w:rPr>
        <w:t xml:space="preserve">• req_58_DOC_SF_019.pdf</w:t>
      </w:r>
    </w:p>
    <w:p>
      <w:pPr>
        <w:spacing w:after="60" w:before="60" w:line="276"/>
      </w:pPr>
      <w:r>
        <w:rPr>
          <w:rFonts w:ascii="Calibri" w:cs="Calibri" w:eastAsia="Calibri" w:hAnsi="Calibri"/>
          <w:b w:val="false"/>
          <w:bCs w:val="false"/>
          <w:color w:val="333333"/>
          <w:sz w:val="20"/>
          <w:szCs w:val="20"/>
        </w:rPr>
        <w:t xml:space="preserve">• EV-SF-106 — FIRMAR ACTA DE PRUEBAS BCP.pdf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p>
      <w:pPr>
        <w:spacing w:after="120" w:before="0" w:line="269"/>
        <w:jc w:val="both"/>
      </w:pPr>
      <w:r>
        <w:rPr>
          <w:rFonts w:ascii="Calibri" w:cs="Calibri" w:eastAsia="Calibri" w:hAnsi="Calibri"/>
          <w:b w:val="false"/>
          <w:bCs w:val="false"/>
          <w:color w:val="333333"/>
          <w:sz w:val="20"/>
          <w:szCs w:val="20"/>
        </w:rPr>
        <w:t xml:space="preserve">La activación, ejecución y cierre del BCP deberá ser coordinada por el comité operativo de continuidad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Los responsables podrán apoyarse en proveedores autorizados, sin delegar la responsabilidad final de la documentación, evidencia y cumplimiento normativo.</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shd w:fill="3b73b9"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shd w:fill="3b73b9" w:color="auto" w:val="clear"/>
            <w:tcMar>
              <w:top w:type="dxa" w:w="100"/>
              <w:left w:type="dxa" w:w="80"/>
              <w:bottom w:type="dxa" w:w="100"/>
              <w:right w:type="dxa" w:w="80"/>
            </w:tcMar>
            <w:vAlign w:val="center"/>
          </w:tcPr>
          <w:p>
            <w:pPr>
              <w:jc w:val="left"/>
            </w:pPr>
            <w:r>
              <w:rPr>
                <w:rFonts w:ascii="Calibri" w:cs="Calibri" w:eastAsia="Calibri" w:hAnsi="Calibri"/>
                <w:b/>
                <w:bCs/>
                <w:color w:val="FDFCFC"/>
                <w:sz w:val="18"/>
                <w:szCs w:val="18"/>
              </w:rPr>
              <w:t xml:space="preserve">Responsabilidad</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Dirección de </w:t>
            </w:r>
            <w:r>
              <w:rPr>
                <w:rFonts w:ascii="Calibri" w:cs="Calibri" w:eastAsia="Calibri" w:hAnsi="Calibri"/>
                <w:b/>
                <w:bCs/>
                <w:color w:val="333333"/>
                <w:sz w:val="18"/>
                <w:szCs w:val="18"/>
              </w:rPr>
              <w:t xml:space="preserve">SENDERO FUEL</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Autoriza la activación del BCP/DRP, prioriza recursos, aprueba comunicación ejecutiva y valida el retorno a operación normal.</w:t>
            </w:r>
          </w:p>
        </w:tc>
      </w:tr>
      <w:tr>
        <w:trPr>
          <w:cantSplit w:val="false"/>
        </w:trPr>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Coordinador MMTO.</w:t>
            </w:r>
          </w:p>
        </w:tc>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 actividades técnicas con proveedores, valida infraestructura NGX/ASSETEL, supervisa restauración y pruebas técnicas.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Preserva evidencia, controla bitácoras, valida medidas de seguridad, coordina clasificación de incidentes y acciones correctivas.</w:t>
            </w:r>
          </w:p>
        </w:tc>
      </w:tr>
      <w:tr>
        <w:trPr>
          <w:cantSplit w:val="false"/>
        </w:trPr>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Coordinador Atención a Clientes</w:t>
            </w:r>
          </w:p>
        </w:tc>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 comunicación con clientes, beneficiarios y estaciones de servicio durante la contingencia.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Coordinador Crédito y Cobranza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Da seguimiento a efectos de compensación, liquidación, saldos, conciliación y comunicación financiera.</w:t>
            </w:r>
          </w:p>
        </w:tc>
      </w:tr>
      <w:tr>
        <w:trPr>
          <w:cantSplit w:val="false"/>
        </w:trPr>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Proveedor de TI</w:t>
            </w:r>
          </w:p>
        </w:tc>
        <w:tc>
          <w:tcPr>
            <w:tcW w:type="dxa" w:w="5120"/>
            <w:shd w:fill="f7f7f7" w:color="auto" w:val="clear"/>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Ejecuta actividades técnicas especializadas de infraestructura, respaldo, conectividad, restauración y soporte del Software de Monedero Electrónico.</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condiciones_operativas_normales" w:id="1"/>
      <w:r>
        <w:t xml:space="preserve"/>
      </w:r>
      <w:bookmarkEnd w:id="1"/>
      <w:r>
        <w:rPr>
          <w:rFonts w:ascii="Calibri" w:cs="Calibri" w:eastAsia="Calibri" w:hAnsi="Calibri"/>
          <w:b/>
          <w:bCs/>
          <w:color w:val="000000"/>
          <w:sz w:val="28"/>
          <w:szCs w:val="28"/>
        </w:rPr>
        <w:t xml:space="preserve">7. CONDICIONES OPERATIVAS NORMALES</w:t>
      </w:r>
    </w:p>
    <w:p>
      <w:r>
        <w:rPr>
          <w:sz w:val="2"/>
          <w:szCs w:val="2"/>
        </w:rPr>
        <w:t xml:space="preserve"/>
      </w:r>
    </w:p>
    <w:p>
      <w:pPr>
        <w:spacing w:after="120" w:before="0" w:line="269"/>
        <w:jc w:val="both"/>
      </w:pPr>
      <w:r>
        <w:rPr>
          <w:rFonts w:ascii="Calibri" w:cs="Calibri" w:eastAsia="Calibri" w:hAnsi="Calibri"/>
          <w:b w:val="false"/>
          <w:bCs w:val="false"/>
          <w:color w:val="333333"/>
          <w:sz w:val="20"/>
          <w:szCs w:val="20"/>
        </w:rPr>
        <w:t xml:space="preserve">En condiciones normales, el </w:t>
      </w:r>
      <w:r>
        <w:rPr>
          <w:rFonts w:ascii="Calibri" w:cs="Calibri" w:eastAsia="Calibri" w:hAnsi="Calibri"/>
          <w:b/>
          <w:bCs/>
          <w:color w:val="333333"/>
          <w:sz w:val="20"/>
          <w:szCs w:val="20"/>
        </w:rPr>
        <w:t xml:space="preserve">Software de Monedero Electrónico </w:t>
      </w:r>
      <w:r>
        <w:rPr>
          <w:rFonts w:ascii="Calibri" w:cs="Calibri" w:eastAsia="Calibri" w:hAnsi="Calibri"/>
          <w:b w:val="false"/>
          <w:bCs w:val="false"/>
          <w:color w:val="333333"/>
          <w:sz w:val="20"/>
          <w:szCs w:val="20"/>
        </w:rPr>
        <w:t xml:space="preserve">opera sobre la infraestructura crítica alojada en el centro de datos NGX.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considera críticos todos los activos ubicados en dicho centro de datos por estar relacionados con los procesos de autorización de transacciones y compensación/liquidación.</w:t>
      </w:r>
    </w:p>
    <w:p>
      <w:pPr>
        <w:spacing w:after="120" w:before="0" w:line="269"/>
        <w:jc w:val="both"/>
      </w:pPr>
      <w:r>
        <w:rPr>
          <w:rFonts w:ascii="Calibri" w:cs="Calibri" w:eastAsia="Calibri" w:hAnsi="Calibri"/>
          <w:b/>
          <w:bCs/>
          <w:color w:val="333333"/>
          <w:sz w:val="20"/>
          <w:szCs w:val="20"/>
        </w:rPr>
        <w:t xml:space="preserve">ASSETEL </w:t>
      </w:r>
      <w:r>
        <w:rPr>
          <w:rFonts w:ascii="Calibri" w:cs="Calibri" w:eastAsia="Calibri" w:hAnsi="Calibri"/>
          <w:b w:val="false"/>
          <w:bCs w:val="false"/>
          <w:color w:val="333333"/>
          <w:sz w:val="20"/>
          <w:szCs w:val="20"/>
        </w:rPr>
        <w:t xml:space="preserve">se mantiene como centro de datos de respaldo con infraestructura espejo en standby. Esta condición permite que, ante contingencias o degradaciones relevantes, el comité BCP/DRP evalúe la continuidad operativa o, en su caso, la activación del DRP.</w:t>
      </w:r>
    </w:p>
    <w:p>
      <w:pPr>
        <w:spacing w:after="120" w:before="0" w:line="269"/>
        <w:jc w:val="both"/>
      </w:pPr>
      <w:r>
        <w:rPr>
          <w:rFonts w:ascii="Calibri" w:cs="Calibri" w:eastAsia="Calibri" w:hAnsi="Calibri"/>
          <w:b w:val="false"/>
          <w:bCs w:val="false"/>
          <w:color w:val="333333"/>
          <w:sz w:val="20"/>
          <w:szCs w:val="20"/>
        </w:rPr>
        <w:t xml:space="preserve">El esquema de respaldos se rige por </w:t>
      </w:r>
      <w:r>
        <w:rPr>
          <w:rFonts w:ascii="Calibri" w:cs="Calibri" w:eastAsia="Calibri" w:hAnsi="Calibri"/>
          <w:b/>
          <w:bCs/>
          <w:color w:val="333333"/>
          <w:sz w:val="20"/>
          <w:szCs w:val="20"/>
        </w:rPr>
        <w:t xml:space="preserve">PO-SF-014</w:t>
      </w:r>
      <w:r>
        <w:rPr>
          <w:rFonts w:ascii="Calibri" w:cs="Calibri" w:eastAsia="Calibri" w:hAnsi="Calibri"/>
          <w:b w:val="false"/>
          <w:bCs w:val="false"/>
          <w:color w:val="333333"/>
          <w:sz w:val="20"/>
          <w:szCs w:val="20"/>
        </w:rPr>
        <w:t xml:space="preserve">, considerando bases de datos del monedero, aplicaciones productivas, configuraciones, servidores, archivos de red, seguridad, comunicaciones, bitácoras, llaves, certificados, scripts y parámetros necesarios para la recuperación.</w:t>
      </w:r>
    </w:p>
    <w:p>
      <w:r>
        <w:t xml:space="preserve"> </w:t>
      </w:r>
    </w:p>
    <w:p>
      <w:pPr>
        <w:pStyle w:val="Heading1"/>
        <w:pBdr>
          <w:bottom w:val="single" w:color="D9D9D9" w:sz="4" w:space="8"/>
        </w:pBdr>
        <w:spacing w:after="200" w:before="400" w:line="240"/>
      </w:pPr>
      <w:bookmarkStart w:name="section_7_bia_y_objetivos_de_recuperacion" w:id="1"/>
      <w:r>
        <w:t xml:space="preserve"/>
      </w:r>
      <w:bookmarkEnd w:id="1"/>
      <w:r>
        <w:rPr>
          <w:rFonts w:ascii="Calibri" w:cs="Calibri" w:eastAsia="Calibri" w:hAnsi="Calibri"/>
          <w:b/>
          <w:bCs/>
          <w:color w:val="000000"/>
          <w:sz w:val="28"/>
          <w:szCs w:val="28"/>
        </w:rPr>
        <w:t xml:space="preserve">8. BIA Y OBJETIVOS DE RECUPERACIÓN</w:t>
      </w:r>
    </w:p>
    <w:p>
      <w:r>
        <w:rPr>
          <w:sz w:val="2"/>
          <w:szCs w:val="2"/>
        </w:rPr>
        <w:t xml:space="preserve"/>
      </w:r>
    </w:p>
    <w:p>
      <w:pPr>
        <w:spacing w:after="120" w:before="0" w:line="269"/>
        <w:jc w:val="both"/>
      </w:pPr>
      <w:r>
        <w:rPr>
          <w:rFonts w:ascii="Calibri" w:cs="Calibri" w:eastAsia="Calibri" w:hAnsi="Calibri"/>
          <w:b w:val="false"/>
          <w:bCs w:val="false"/>
          <w:color w:val="333333"/>
          <w:sz w:val="20"/>
          <w:szCs w:val="20"/>
        </w:rPr>
        <w:t xml:space="preserve">Los objetivos preliminares de recuperación se adaptan del análisis de impacto al negocio y de los archivos de análisis de riesgos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8_escenarios_de_continuidad" w:id="1"/>
      <w:r>
        <w:t xml:space="preserve"/>
      </w:r>
      <w:bookmarkEnd w:id="1"/>
      <w:r>
        <w:rPr>
          <w:rFonts w:ascii="Calibri" w:cs="Calibri" w:eastAsia="Calibri" w:hAnsi="Calibri"/>
          <w:b/>
          <w:bCs/>
          <w:color w:val="000000"/>
          <w:sz w:val="28"/>
          <w:szCs w:val="28"/>
        </w:rPr>
        <w:t xml:space="preserve">9. ESCENARIOS DE CONTINUIDAD</w:t>
      </w:r>
    </w:p>
    <w:p>
      <w:r>
        <w:rPr>
          <w:sz w:val="2"/>
          <w:szCs w:val="2"/>
        </w:rPr>
        <w:t xml:space="preserve"/>
      </w:r>
    </w:p>
    <w:p>
      <w:r>
        <w:t xml:space="preserve"> </w:t>
      </w:r>
    </w:p>
    <w:p>
      <w:pPr>
        <w:pStyle w:val="Heading1"/>
        <w:pBdr>
          <w:bottom w:val="single" w:color="D9D9D9" w:sz="4" w:space="8"/>
        </w:pBdr>
        <w:spacing w:after="200" w:before="400" w:line="240"/>
      </w:pPr>
      <w:bookmarkStart w:name="section_9_protocolo_de_activacion" w:id="1"/>
      <w:r>
        <w:t xml:space="preserve"/>
      </w:r>
      <w:bookmarkEnd w:id="1"/>
      <w:r>
        <w:rPr>
          <w:rFonts w:ascii="Calibri" w:cs="Calibri" w:eastAsia="Calibri" w:hAnsi="Calibri"/>
          <w:b/>
          <w:bCs/>
          <w:color w:val="000000"/>
          <w:sz w:val="28"/>
          <w:szCs w:val="28"/>
        </w:rPr>
        <w:t xml:space="preserve">10. PROTOCOLO DE ACTIVACIÓN</w:t>
      </w:r>
    </w:p>
    <w:p>
      <w:r>
        <w:rPr>
          <w:sz w:val="2"/>
          <w:szCs w:val="2"/>
        </w:rPr>
        <w:t xml:space="preserve"/>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Detectar evento que pueda afectar los procesos críticos del monedero electrónico.</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Registrar hora, origen, responsable y descripción inicial del evento en </w:t>
      </w:r>
      <w:r>
        <w:rPr>
          <w:rFonts w:ascii="Calibri" w:cs="Calibri" w:eastAsia="Calibri" w:hAnsi="Calibri"/>
          <w:b/>
          <w:bCs/>
          <w:color w:val="333333"/>
          <w:sz w:val="20"/>
          <w:szCs w:val="20"/>
        </w:rPr>
        <w:t xml:space="preserve">FO-SF-110</w:t>
      </w:r>
      <w:r>
        <w:rPr>
          <w:rFonts w:ascii="Calibri" w:cs="Calibri" w:eastAsia="Calibri" w:hAnsi="Calibri"/>
          <w:b w:val="false"/>
          <w:bCs w:val="false"/>
          <w:color w:val="333333"/>
          <w:sz w:val="20"/>
          <w:szCs w:val="20"/>
        </w:rPr>
        <w:t xml:space="preserve">.</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Evaluar si el evento afecta autorización de transacciones, compensación/liquidación o atención a clientes/estaciones.</w:t>
      </w:r>
    </w:p>
    <w:p>
      <w:pPr>
        <w:spacing w:line="276"/>
        <w:ind w:left="360" w:hanging="0"/>
        <w:jc w:val="left"/>
      </w:pPr>
      <w:r>
        <w:rPr>
          <w:rFonts w:ascii="Calibri" w:cs="Calibri" w:eastAsia="Calibri" w:hAnsi="Calibri"/>
          <w:sz w:val="20"/>
          <w:szCs w:val="20"/>
        </w:rPr>
        <w:t xml:space="preserve">4.  </w:t>
      </w:r>
      <w:r>
        <w:rPr>
          <w:rFonts w:ascii="Calibri" w:cs="Calibri" w:eastAsia="Calibri" w:hAnsi="Calibri"/>
          <w:b w:val="false"/>
          <w:bCs w:val="false"/>
          <w:color w:val="333333"/>
          <w:sz w:val="20"/>
          <w:szCs w:val="20"/>
        </w:rPr>
        <w:t xml:space="preserve">Convocar al comité BCP/DRP y al proveedor de TI autorizado.</w:t>
      </w:r>
    </w:p>
    <w:p>
      <w:pPr>
        <w:spacing w:line="276"/>
        <w:ind w:left="360" w:hanging="0"/>
        <w:jc w:val="left"/>
      </w:pPr>
      <w:r>
        <w:rPr>
          <w:rFonts w:ascii="Calibri" w:cs="Calibri" w:eastAsia="Calibri" w:hAnsi="Calibri"/>
          <w:sz w:val="20"/>
          <w:szCs w:val="20"/>
        </w:rPr>
        <w:t xml:space="preserve">5.  </w:t>
      </w:r>
      <w:r>
        <w:rPr>
          <w:rFonts w:ascii="Calibri" w:cs="Calibri" w:eastAsia="Calibri" w:hAnsi="Calibri"/>
          <w:b w:val="false"/>
          <w:bCs w:val="false"/>
          <w:color w:val="333333"/>
          <w:sz w:val="20"/>
          <w:szCs w:val="20"/>
        </w:rPr>
        <w:t xml:space="preserve">Clasificar el evento como contingencia operativa, incidente de seguridad o posible desastre.</w:t>
      </w:r>
    </w:p>
    <w:p>
      <w:pPr>
        <w:spacing w:line="276"/>
        <w:ind w:left="360" w:hanging="0"/>
        <w:jc w:val="left"/>
      </w:pPr>
      <w:r>
        <w:rPr>
          <w:rFonts w:ascii="Calibri" w:cs="Calibri" w:eastAsia="Calibri" w:hAnsi="Calibri"/>
          <w:sz w:val="20"/>
          <w:szCs w:val="20"/>
        </w:rPr>
        <w:t xml:space="preserve">6.  </w:t>
      </w:r>
      <w:r>
        <w:rPr>
          <w:rFonts w:ascii="Calibri" w:cs="Calibri" w:eastAsia="Calibri" w:hAnsi="Calibri"/>
          <w:b w:val="false"/>
          <w:bCs w:val="false"/>
          <w:color w:val="333333"/>
          <w:sz w:val="20"/>
          <w:szCs w:val="20"/>
        </w:rPr>
        <w:t xml:space="preserve">Definir si se mantiene el BCP o si debe escalarse al DRP.</w:t>
      </w:r>
    </w:p>
    <w:p>
      <w:pPr>
        <w:spacing w:line="276"/>
        <w:ind w:left="360" w:hanging="0"/>
        <w:jc w:val="left"/>
      </w:pPr>
      <w:r>
        <w:rPr>
          <w:rFonts w:ascii="Calibri" w:cs="Calibri" w:eastAsia="Calibri" w:hAnsi="Calibri"/>
          <w:sz w:val="20"/>
          <w:szCs w:val="20"/>
        </w:rPr>
        <w:t xml:space="preserve">7.  </w:t>
      </w:r>
      <w:r>
        <w:rPr>
          <w:rFonts w:ascii="Calibri" w:cs="Calibri" w:eastAsia="Calibri" w:hAnsi="Calibri"/>
          <w:b w:val="false"/>
          <w:bCs w:val="false"/>
          <w:color w:val="333333"/>
          <w:sz w:val="20"/>
          <w:szCs w:val="20"/>
        </w:rPr>
        <w:t xml:space="preserve">Comunicar estado operativo a las áreas impactadas y, cuando aplique, a clientes, beneficiarios y estaciones de servicio.</w:t>
      </w:r>
    </w:p>
    <w:p>
      <w:pPr>
        <w:spacing w:line="276"/>
        <w:ind w:left="360" w:hanging="0"/>
        <w:jc w:val="left"/>
      </w:pPr>
      <w:r>
        <w:rPr>
          <w:rFonts w:ascii="Calibri" w:cs="Calibri" w:eastAsia="Calibri" w:hAnsi="Calibri"/>
          <w:sz w:val="20"/>
          <w:szCs w:val="20"/>
        </w:rPr>
        <w:t xml:space="preserve">8.  </w:t>
      </w:r>
      <w:r>
        <w:rPr>
          <w:rFonts w:ascii="Calibri" w:cs="Calibri" w:eastAsia="Calibri" w:hAnsi="Calibri"/>
          <w:b w:val="false"/>
          <w:bCs w:val="false"/>
          <w:color w:val="333333"/>
          <w:sz w:val="20"/>
          <w:szCs w:val="20"/>
        </w:rPr>
        <w:t xml:space="preserve">Documentar tiempos reales, decisiones, evidencias, desviaciones y cierre.</w:t>
      </w:r>
    </w:p>
    <w:p>
      <w:r>
        <w:t xml:space="preserve"> </w:t>
      </w:r>
    </w:p>
    <w:p>
      <w:pPr>
        <w:pStyle w:val="Heading1"/>
        <w:pBdr>
          <w:bottom w:val="single" w:color="D9D9D9" w:sz="4" w:space="8"/>
        </w:pBdr>
        <w:spacing w:after="200" w:before="400" w:line="240"/>
      </w:pPr>
      <w:bookmarkStart w:name="section_10_protocolos_de_respuesta" w:id="1"/>
      <w:r>
        <w:t xml:space="preserve"/>
      </w:r>
      <w:bookmarkEnd w:id="1"/>
      <w:r>
        <w:rPr>
          <w:rFonts w:ascii="Calibri" w:cs="Calibri" w:eastAsia="Calibri" w:hAnsi="Calibri"/>
          <w:b/>
          <w:bCs/>
          <w:color w:val="000000"/>
          <w:sz w:val="28"/>
          <w:szCs w:val="28"/>
        </w:rPr>
        <w:t xml:space="preserve">11. PROTOCOLOS DE RESPUESTA</w:t>
      </w:r>
    </w:p>
    <w:p>
      <w:r>
        <w:rPr>
          <w:sz w:val="2"/>
          <w:szCs w:val="2"/>
        </w:rPr>
        <w:t xml:space="preserve"/>
      </w:r>
    </w:p>
    <w:p>
      <w:r>
        <w:t xml:space="preserve"> </w:t>
      </w:r>
    </w:p>
    <w:p>
      <w:pPr>
        <w:pStyle w:val="Heading1"/>
        <w:pBdr>
          <w:bottom w:val="single" w:color="D9D9D9" w:sz="4" w:space="8"/>
        </w:pBdr>
        <w:spacing w:after="200" w:before="400" w:line="240"/>
      </w:pPr>
      <w:bookmarkStart w:name="section_11_diseno_y_ejecucion_de_pruebas" w:id="1"/>
      <w:r>
        <w:t xml:space="preserve"/>
      </w:r>
      <w:bookmarkEnd w:id="1"/>
      <w:r>
        <w:rPr>
          <w:rFonts w:ascii="Calibri" w:cs="Calibri" w:eastAsia="Calibri" w:hAnsi="Calibri"/>
          <w:b/>
          <w:bCs/>
          <w:color w:val="000000"/>
          <w:sz w:val="28"/>
          <w:szCs w:val="28"/>
        </w:rPr>
        <w:t xml:space="preserve">12. DISEÑO Y EJECUCIÓN DE PRUEBAS</w:t>
      </w:r>
    </w:p>
    <w:p>
      <w:r>
        <w:rPr>
          <w:sz w:val="2"/>
          <w:szCs w:val="2"/>
        </w:rPr>
        <w:t xml:space="preserve"/>
      </w:r>
    </w:p>
    <w:p>
      <w:pPr>
        <w:spacing w:after="120" w:before="0" w:line="269"/>
        <w:jc w:val="both"/>
      </w:pPr>
      <w:r>
        <w:rPr>
          <w:rFonts w:ascii="Calibri" w:cs="Calibri" w:eastAsia="Calibri" w:hAnsi="Calibri"/>
          <w:b w:val="false"/>
          <w:bCs w:val="false"/>
          <w:color w:val="333333"/>
          <w:sz w:val="20"/>
          <w:szCs w:val="20"/>
        </w:rPr>
        <w:t xml:space="preserve">El BCP deberá probarse al menos semestralmente y después de cambios relevantes en infraestructura, proveedores, arquitectura, procesos críticos o resultados de auditoría. Las pruebas deberán contemplar alcance, escenario, participantes, precondiciones, criterios de éxito, evidencia y resultados.</w:t>
      </w:r>
    </w:p>
    <w:p>
      <w:r>
        <w:t xml:space="preserve"> </w:t>
      </w:r>
    </w:p>
    <w:p>
      <w:pPr>
        <w:pStyle w:val="Heading1"/>
        <w:pBdr>
          <w:bottom w:val="single" w:color="D9D9D9" w:sz="4" w:space="8"/>
        </w:pBdr>
        <w:spacing w:after="200" w:before="400" w:line="240"/>
      </w:pPr>
      <w:bookmarkStart w:name="section_12_periodicidad_de_revision" w:id="1"/>
      <w:r>
        <w:t xml:space="preserve"/>
      </w:r>
      <w:bookmarkEnd w:id="1"/>
      <w:r>
        <w:rPr>
          <w:rFonts w:ascii="Calibri" w:cs="Calibri" w:eastAsia="Calibri" w:hAnsi="Calibri"/>
          <w:b/>
          <w:bCs/>
          <w:color w:val="000000"/>
          <w:sz w:val="28"/>
          <w:szCs w:val="28"/>
        </w:rPr>
        <w:t xml:space="preserve">13.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3_glosario" w:id="1"/>
      <w:r>
        <w:rPr>
          <w:rFonts w:ascii="Calibri" w:cs="Calibri" w:eastAsia="Calibri" w:hAnsi="Calibri"/>
          <w:b/>
          <w:bCs/>
          <w:color w:val="000000"/>
          <w:sz w:val="28"/>
          <w:szCs w:val="28"/>
        </w:rPr>
        <w:t xml:space="preserve">14.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DOC-SF-019</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Plan de Continuidad del Negocio (BCP)</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8/6/2026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Documento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DOC-SF-019</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Plan de Continuidad del Negocio (BCP)</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8/6/2026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Documento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Continuidad del Negocio BCP</dc:title>
  <dc:subject>Documento</dc:subject>
  <dc:creator>Administrador MAPLINKS</dc:creator>
  <cp:keywords>DOC-SF-019</cp:keywords>
  <dc:description>Documento DOC-SF-019</dc:description>
  <cp:lastModifiedBy>Administrador MAPLINKS</cp:lastModifiedBy>
  <cp:revision>1</cp:revision>
  <dcterms:created xsi:type="dcterms:W3CDTF">2026-09-30T21:33:50.487Z</dcterms:created>
  <dcterms:modified xsi:type="dcterms:W3CDTF">2026-09-30T21:33:50.487Z</dcterms:modified>
</cp:coreProperties>
</file>

<file path=docProps/custom.xml><?xml version="1.0" encoding="utf-8"?>
<Properties xmlns="http://schemas.openxmlformats.org/officeDocument/2006/custom-properties" xmlns:vt="http://schemas.openxmlformats.org/officeDocument/2006/docPropsVTypes"/>
</file>