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p>
            <w:pPr>
              <w:spacing w:after="120" w:before="0" w:line="276"/>
              <w:jc w:val="center"/>
            </w:pPr>
            <w:r>
              <w:rPr>
                <w:rFonts w:ascii="Calibri" w:cs="Calibri" w:eastAsia="Calibri" w:hAnsi="Calibri"/>
                <w:b w:val="false"/>
                <w:bCs w:val="false"/>
                <w:color w:val="333333"/>
                <w:sz w:val="20"/>
                <w:szCs w:val="20"/>
              </w:rPr>
              <w:t xml:space="preserve">David Orlando Navarro Santiesteban</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12/6/2026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12/6/2026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52"/>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la atención de incidentes de seguridad de la información es el proceso formal, trazable y documentado mediante el cual se detectan, registran, clasifican, contienen, investigan, remedian y cierran eventos que puedan afectar la confidencialidad, integridad o disponibilidad de la información de los contribuyentes y de los activos relacionados con el monedero electrónico utilizado en la adquisición de combustibles.</w:t>
      </w:r>
    </w:p>
    <w:p>
      <w:pPr>
        <w:spacing w:after="120" w:before="0" w:line="252"/>
        <w:jc w:val="both"/>
      </w:pPr>
      <w:r>
        <w:rPr>
          <w:rFonts w:ascii="Calibri" w:cs="Calibri" w:eastAsia="Calibri" w:hAnsi="Calibri"/>
          <w:b w:val="false"/>
          <w:bCs w:val="false"/>
          <w:color w:val="333333"/>
          <w:sz w:val="20"/>
          <w:szCs w:val="20"/>
        </w:rPr>
        <w:t xml:space="preserve">Para efectos de este procedimiento, todo incidente, problema o evento reportable debe registrarse mediante ticket en GLPI, herramienta oficial de mesa de servicio y trazabilidad operativa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52"/>
        <w:jc w:val="left"/>
      </w:pPr>
      <w:r>
        <w:rPr>
          <w:rFonts w:ascii="Calibri" w:cs="Calibri" w:eastAsia="Calibri" w:hAnsi="Calibri"/>
          <w:b w:val="false"/>
          <w:bCs w:val="false"/>
          <w:color w:val="333333"/>
          <w:sz w:val="20"/>
          <w:szCs w:val="20"/>
        </w:rPr>
        <w:t xml:space="preserve">Establecer el procedimiento de atención de incidentes que puedan afectar la confidencialidad, integridad o disponibilidad de la información de los contribuyentes.</w:t>
      </w:r>
    </w:p>
    <w:p>
      <w:pPr>
        <w:spacing w:after="120" w:before="0" w:line="276"/>
        <w:jc w:val="left"/>
      </w:pPr>
      <w:r>
        <w:rPr>
          <w:rFonts w:ascii="Calibri" w:cs="Calibri" w:eastAsia="Calibri" w:hAnsi="Calibri"/>
          <w:b w:val="false"/>
          <w:bCs w:val="false"/>
          <w:color w:val="333333"/>
          <w:sz w:val="20"/>
          <w:szCs w:val="20"/>
        </w:rPr>
        <w:t xml:space="preserve">• Definir roles y responsabilidades para la gestión de incidentes y problemas.</w:t>
      </w:r>
    </w:p>
    <w:p>
      <w:pPr>
        <w:spacing w:after="120" w:before="0" w:line="276"/>
        <w:jc w:val="left"/>
      </w:pPr>
      <w:r>
        <w:rPr>
          <w:rFonts w:ascii="Calibri" w:cs="Calibri" w:eastAsia="Calibri" w:hAnsi="Calibri"/>
          <w:b w:val="false"/>
          <w:bCs w:val="false"/>
          <w:color w:val="333333"/>
          <w:sz w:val="20"/>
          <w:szCs w:val="20"/>
        </w:rPr>
        <w:t xml:space="preserve">• Clasificar los incidentes por severidad e impacto operativo, tecnológico, legal y regulatorio.</w:t>
      </w:r>
    </w:p>
    <w:p>
      <w:pPr>
        <w:spacing w:after="120" w:before="0" w:line="276"/>
        <w:jc w:val="left"/>
      </w:pPr>
      <w:r>
        <w:rPr>
          <w:rFonts w:ascii="Calibri" w:cs="Calibri" w:eastAsia="Calibri" w:hAnsi="Calibri"/>
          <w:b w:val="false"/>
          <w:bCs w:val="false"/>
          <w:color w:val="333333"/>
          <w:sz w:val="20"/>
          <w:szCs w:val="20"/>
        </w:rPr>
        <w:t xml:space="preserve">• Documentar en GLPI la detección, análisis, evidencia, escalamiento, remediación y cierre del incidente.</w:t>
      </w:r>
    </w:p>
    <w:p>
      <w:pPr>
        <w:spacing w:after="120" w:before="0" w:line="276"/>
        <w:jc w:val="left"/>
      </w:pPr>
      <w:r>
        <w:rPr>
          <w:rFonts w:ascii="Calibri" w:cs="Calibri" w:eastAsia="Calibri" w:hAnsi="Calibri"/>
          <w:b w:val="false"/>
          <w:bCs w:val="false"/>
          <w:color w:val="333333"/>
          <w:sz w:val="20"/>
          <w:szCs w:val="20"/>
        </w:rPr>
        <w:t xml:space="preserve">• Preservar evidencia técnica suficiente para revisión interna, auditoría o verificación de la autoridad.</w:t>
      </w:r>
    </w:p>
    <w:p>
      <w:pPr>
        <w:spacing w:after="120" w:before="0" w:line="276"/>
        <w:jc w:val="left"/>
      </w:pPr>
      <w:r>
        <w:rPr>
          <w:rFonts w:ascii="Calibri" w:cs="Calibri" w:eastAsia="Calibri" w:hAnsi="Calibri"/>
          <w:b w:val="false"/>
          <w:bCs w:val="false"/>
          <w:color w:val="333333"/>
          <w:sz w:val="20"/>
          <w:szCs w:val="20"/>
        </w:rPr>
        <w:t xml:space="preserve">• Alimentar la base de conocimientos con causas raíz, soluciones y lecciones aprendidas.</w:t>
      </w:r>
    </w:p>
    <w:p>
      <w:pPr>
        <w:spacing w:after="120" w:before="0" w:line="276"/>
        <w:jc w:val="left"/>
      </w:pPr>
      <w:r>
        <w:rPr>
          <w:rFonts w:ascii="Calibri" w:cs="Calibri" w:eastAsia="Calibri" w:hAnsi="Calibri"/>
          <w:b w:val="false"/>
          <w:bCs w:val="false"/>
          <w:color w:val="333333"/>
          <w:sz w:val="20"/>
          <w:szCs w:val="20"/>
        </w:rPr>
        <w:t xml:space="preserve">• Activar el procedimiento </w:t>
      </w:r>
      <w:r>
        <w:rPr>
          <w:rFonts w:ascii="Calibri" w:cs="Calibri" w:eastAsia="Calibri" w:hAnsi="Calibri"/>
          <w:b/>
          <w:bCs/>
          <w:color w:val="333333"/>
          <w:sz w:val="20"/>
          <w:szCs w:val="20"/>
        </w:rPr>
        <w:t xml:space="preserve">PR-SF-001 </w:t>
      </w:r>
      <w:r>
        <w:rPr>
          <w:rFonts w:ascii="Calibri" w:cs="Calibri" w:eastAsia="Calibri" w:hAnsi="Calibri"/>
          <w:b w:val="false"/>
          <w:bCs w:val="false"/>
          <w:color w:val="333333"/>
          <w:sz w:val="20"/>
          <w:szCs w:val="20"/>
        </w:rPr>
        <w:t xml:space="preserve">cuando el incidente deba notificarse al SAT.</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52"/>
        <w:jc w:val="both"/>
      </w:pPr>
      <w:r>
        <w:rPr>
          <w:rFonts w:ascii="Calibri" w:cs="Calibri" w:eastAsia="Calibri" w:hAnsi="Calibri"/>
          <w:b w:val="false"/>
          <w:bCs w:val="false"/>
          <w:color w:val="333333"/>
          <w:sz w:val="20"/>
          <w:szCs w:val="20"/>
        </w:rPr>
        <w:t xml:space="preserve">Este procedimiento aplica a todos los colaboradores, proveedores, terceros autorizados, sistemas, aplicaciones, servicios, redes, bases de datos, respaldos, bitácoras y activos vinculados con la operación del monedero electrónico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w:t>
      </w:r>
    </w:p>
    <w:p>
      <w:pPr>
        <w:spacing w:after="120" w:before="0" w:line="276"/>
        <w:jc w:val="left"/>
      </w:pPr>
      <w:r>
        <w:rPr>
          <w:rFonts w:ascii="Calibri" w:cs="Calibri" w:eastAsia="Calibri" w:hAnsi="Calibri"/>
          <w:b w:val="false"/>
          <w:bCs w:val="false"/>
          <w:color w:val="333333"/>
          <w:sz w:val="20"/>
          <w:szCs w:val="20"/>
        </w:rPr>
        <w:t xml:space="preserve">• </w:t>
      </w:r>
      <w:r>
        <w:rPr>
          <w:rFonts w:ascii="Calibri" w:cs="Calibri" w:eastAsia="Calibri" w:hAnsi="Calibri"/>
          <w:b/>
          <w:bCs/>
          <w:color w:val="333333"/>
          <w:sz w:val="20"/>
          <w:szCs w:val="20"/>
        </w:rPr>
        <w:t xml:space="preserve">Software de Monedero Electrónico</w:t>
      </w:r>
      <w:r>
        <w:rPr>
          <w:rFonts w:ascii="Calibri" w:cs="Calibri" w:eastAsia="Calibri" w:hAnsi="Calibri"/>
          <w:b w:val="false"/>
          <w:bCs w:val="false"/>
          <w:color w:val="333333"/>
          <w:sz w:val="20"/>
          <w:szCs w:val="20"/>
        </w:rPr>
        <w:t xml:space="preserve">, autorización de transacciones y compensación/liquidación.</w:t>
      </w:r>
    </w:p>
    <w:p>
      <w:pPr>
        <w:spacing w:after="120" w:before="0" w:line="276"/>
        <w:jc w:val="left"/>
      </w:pPr>
      <w:r>
        <w:rPr>
          <w:rFonts w:ascii="Calibri" w:cs="Calibri" w:eastAsia="Calibri" w:hAnsi="Calibri"/>
          <w:b w:val="false"/>
          <w:bCs w:val="false"/>
          <w:color w:val="333333"/>
          <w:sz w:val="20"/>
          <w:szCs w:val="20"/>
        </w:rPr>
        <w:t xml:space="preserve">• Centro de Datos </w:t>
      </w:r>
      <w:r>
        <w:rPr>
          <w:rFonts w:ascii="Calibri" w:cs="Calibri" w:eastAsia="Calibri" w:hAnsi="Calibri"/>
          <w:b/>
          <w:bCs/>
          <w:color w:val="333333"/>
          <w:sz w:val="20"/>
          <w:szCs w:val="20"/>
        </w:rPr>
        <w:t xml:space="preserve">NGX</w:t>
      </w:r>
      <w:r>
        <w:rPr>
          <w:rFonts w:ascii="Calibri" w:cs="Calibri" w:eastAsia="Calibri" w:hAnsi="Calibri"/>
          <w:b w:val="false"/>
          <w:bCs w:val="false"/>
          <w:color w:val="333333"/>
          <w:sz w:val="20"/>
          <w:szCs w:val="20"/>
        </w:rPr>
        <w:t xml:space="preserve">, Centro de Datos </w:t>
      </w:r>
      <w:r>
        <w:rPr>
          <w:rFonts w:ascii="Calibri" w:cs="Calibri" w:eastAsia="Calibri" w:hAnsi="Calibri"/>
          <w:b/>
          <w:bCs/>
          <w:color w:val="333333"/>
          <w:sz w:val="20"/>
          <w:szCs w:val="20"/>
        </w:rPr>
        <w:t xml:space="preserve">ASSETEL </w:t>
      </w:r>
      <w:r>
        <w:rPr>
          <w:rFonts w:ascii="Calibri" w:cs="Calibri" w:eastAsia="Calibri" w:hAnsi="Calibri"/>
          <w:b w:val="false"/>
          <w:bCs w:val="false"/>
          <w:color w:val="333333"/>
          <w:sz w:val="20"/>
          <w:szCs w:val="20"/>
        </w:rPr>
        <w:t xml:space="preserve">y activos críticos de infraestructura, seguridad y respaldo.</w:t>
      </w:r>
    </w:p>
    <w:p>
      <w:pPr>
        <w:spacing w:after="120" w:before="0" w:line="276"/>
        <w:jc w:val="left"/>
      </w:pPr>
      <w:r>
        <w:rPr>
          <w:rFonts w:ascii="Calibri" w:cs="Calibri" w:eastAsia="Calibri" w:hAnsi="Calibri"/>
          <w:b w:val="false"/>
          <w:bCs w:val="false"/>
          <w:color w:val="333333"/>
          <w:sz w:val="20"/>
          <w:szCs w:val="20"/>
        </w:rPr>
        <w:t xml:space="preserve">• </w:t>
      </w:r>
      <w:r>
        <w:rPr>
          <w:rFonts w:ascii="Calibri" w:cs="Calibri" w:eastAsia="Calibri" w:hAnsi="Calibri"/>
          <w:b/>
          <w:bCs/>
          <w:color w:val="333333"/>
          <w:sz w:val="20"/>
          <w:szCs w:val="20"/>
        </w:rPr>
        <w:t xml:space="preserve">GLPI </w:t>
      </w:r>
      <w:r>
        <w:rPr>
          <w:rFonts w:ascii="Calibri" w:cs="Calibri" w:eastAsia="Calibri" w:hAnsi="Calibri"/>
          <w:b w:val="false"/>
          <w:bCs w:val="false"/>
          <w:color w:val="333333"/>
          <w:sz w:val="20"/>
          <w:szCs w:val="20"/>
        </w:rPr>
        <w:t xml:space="preserve">como herramienta de registro, seguimiento y documentación de incidentes y problemas.</w:t>
      </w:r>
    </w:p>
    <w:p>
      <w:pPr>
        <w:spacing w:after="120" w:before="0" w:line="276"/>
        <w:jc w:val="left"/>
      </w:pPr>
      <w:r>
        <w:rPr>
          <w:rFonts w:ascii="Calibri" w:cs="Calibri" w:eastAsia="Calibri" w:hAnsi="Calibri"/>
          <w:b w:val="false"/>
          <w:bCs w:val="false"/>
          <w:color w:val="333333"/>
          <w:sz w:val="20"/>
          <w:szCs w:val="20"/>
        </w:rPr>
        <w:t xml:space="preserve">• Proveedor </w:t>
      </w:r>
      <w:r>
        <w:rPr>
          <w:rFonts w:ascii="Calibri" w:cs="Calibri" w:eastAsia="Calibri" w:hAnsi="Calibri"/>
          <w:b/>
          <w:bCs/>
          <w:color w:val="333333"/>
          <w:sz w:val="20"/>
          <w:szCs w:val="20"/>
        </w:rPr>
        <w:t xml:space="preserve">ENERFUEL TECH </w:t>
      </w:r>
      <w:r>
        <w:rPr>
          <w:rFonts w:ascii="Calibri" w:cs="Calibri" w:eastAsia="Calibri" w:hAnsi="Calibri"/>
          <w:b w:val="false"/>
          <w:bCs w:val="false"/>
          <w:color w:val="333333"/>
          <w:sz w:val="20"/>
          <w:szCs w:val="20"/>
        </w:rPr>
        <w:t xml:space="preserve">en su calidad de proveedor tecnológico relacionado con la operación y soporte del monedero electrónico.</w:t>
      </w:r>
    </w:p>
    <w:p>
      <w:pPr>
        <w:spacing w:after="120" w:before="0" w:line="276"/>
        <w:jc w:val="left"/>
      </w:pPr>
      <w:r>
        <w:rPr>
          <w:rFonts w:ascii="Calibri" w:cs="Calibri" w:eastAsia="Calibri" w:hAnsi="Calibri"/>
          <w:b w:val="false"/>
          <w:bCs w:val="false"/>
          <w:color w:val="333333"/>
          <w:sz w:val="20"/>
          <w:szCs w:val="20"/>
        </w:rPr>
        <w:t xml:space="preserve">• Eventos de seguridad, fallas operativas, interrupciones, vulnerabilidades explotadas, malware, errores de configuración, incidentes de proveedores y problemas recurrentes.</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req_56_PR_SF_022.pdf</w:t>
      </w:r>
    </w:p>
    <w:p>
      <w:pPr>
        <w:spacing w:after="60" w:before="60" w:line="276"/>
      </w:pPr>
      <w:r>
        <w:rPr>
          <w:rFonts w:ascii="Calibri" w:cs="Calibri" w:eastAsia="Calibri" w:hAnsi="Calibri"/>
          <w:b w:val="false"/>
          <w:bCs w:val="false"/>
          <w:color w:val="333333"/>
          <w:sz w:val="20"/>
          <w:szCs w:val="20"/>
        </w:rPr>
        <w:t xml:space="preserve">• EV-SF-104 — EVIDENCIA GLPI.pdf</w:t>
      </w:r>
    </w:p>
    <w:p>
      <w:r>
        <w:t xml:space="preserve"> </w:t>
      </w:r>
    </w:p>
    <w:p>
      <w:pPr>
        <w:pStyle w:val="Heading1"/>
        <w:pBdr>
          <w:bottom w:val="single" w:color="D9D9D9" w:sz="4" w:space="8"/>
        </w:pBdr>
        <w:spacing w:after="200" w:before="400" w:line="240"/>
      </w:pPr>
      <w:bookmarkStart w:name="section_5_roles_y_responsabilidades" w:id="1"/>
      <w:r>
        <w:t xml:space="preserve"/>
      </w:r>
      <w:bookmarkEnd w:id="1"/>
      <w:r>
        <w:rPr>
          <w:rFonts w:ascii="Calibri" w:cs="Calibri" w:eastAsia="Calibri" w:hAnsi="Calibri"/>
          <w:b/>
          <w:bCs/>
          <w:color w:val="000000"/>
          <w:sz w:val="28"/>
          <w:szCs w:val="28"/>
        </w:rPr>
        <w:t xml:space="preserve">6.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512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Funciones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Usuario, colaborador o tercero autorizado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Reportar inmediatamente cualquier evento, anomalía, falla, indisponibilidad, sospecha de acceso no autorizado o comportamiento anómalo. Cuando tenga acceso a GLPI, deberá levantar ticket; cuando no lo tenga, deberá notificar a su jefe inmediato o a la Mesa de Servicio para que se registre el ticket.</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Mesa de Servicio / Enlace con </w:t>
            </w:r>
            <w:r>
              <w:rPr>
                <w:rFonts w:ascii="Calibri" w:cs="Calibri" w:eastAsia="Calibri" w:hAnsi="Calibri"/>
                <w:b/>
                <w:bCs/>
                <w:color w:val="333333"/>
                <w:sz w:val="18"/>
                <w:szCs w:val="18"/>
              </w:rPr>
              <w:t xml:space="preserve">ENERFUEL TECH</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Registrar, validar y dar seguimiento inicial a los tickets en GLPI. Para la relación directa con ENERFUEL TECH, la persona de enlace será Romina Monserrat Barbosa Apodaca o quien esta designe formalmente.</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Oficial de Seguridad</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Clasificar el incidente, determinar severidad, coordinar la recolección de evidencia, validar si existe impacto a información de contribuyentes, alimentar la base de conocimientos y recomendar cierre o escalamiento.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Proveedor </w:t>
            </w:r>
            <w:r>
              <w:rPr>
                <w:rFonts w:ascii="Calibri" w:cs="Calibri" w:eastAsia="Calibri" w:hAnsi="Calibri"/>
                <w:b/>
                <w:bCs/>
                <w:color w:val="333333"/>
                <w:sz w:val="18"/>
                <w:szCs w:val="18"/>
              </w:rPr>
              <w:t xml:space="preserve">ENERFUEL TECH </w:t>
            </w:r>
            <w:r>
              <w:rPr>
                <w:rFonts w:ascii="Calibri" w:cs="Calibri" w:eastAsia="Calibri" w:hAnsi="Calibri"/>
                <w:b w:val="false"/>
                <w:bCs w:val="false"/>
                <w:color w:val="333333"/>
                <w:sz w:val="18"/>
                <w:szCs w:val="18"/>
              </w:rPr>
              <w:t xml:space="preserve">/ Ingeniero de operaciones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Atender técnicamente los tickets asignados, ejecutar acciones de diagnóstico, contención, restauración o remediación autorizadas, documentar evidencia técnica y reportar avances en </w:t>
            </w:r>
            <w:r>
              <w:rPr>
                <w:rFonts w:ascii="Calibri" w:cs="Calibri" w:eastAsia="Calibri" w:hAnsi="Calibri"/>
                <w:b/>
                <w:bCs/>
                <w:color w:val="333333"/>
                <w:sz w:val="18"/>
                <w:szCs w:val="18"/>
              </w:rPr>
              <w:t xml:space="preserve">GLPI</w:t>
            </w:r>
            <w:r>
              <w:rPr>
                <w:rFonts w:ascii="Calibri" w:cs="Calibri" w:eastAsia="Calibri" w:hAnsi="Calibri"/>
                <w:b w:val="false"/>
                <w:bCs w:val="false"/>
                <w:color w:val="333333"/>
                <w:sz w:val="18"/>
                <w:szCs w:val="18"/>
              </w:rPr>
              <w:t xml:space="preserve">.</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Coordinador MMTO.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Apoyar en la coordinación operativa, priorización de incidentes relacionados con operación, cartera o continuidad, y validación de impacto a procesos internos.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Coordinador Atención a Clientes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Coordinar comunicación operativa hacia clientes, estaciones, beneficiarios o usuarios internos cuando el incidente afecte la atención o continuidad del servicio.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Gerencia / Comité de Crisis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Aprobar acciones de contención o recuperación de alto impacto, autorizar comunicación a partes interesadas, activar BCP/DRP y validar si procede escalamiento a </w:t>
            </w:r>
            <w:r>
              <w:rPr>
                <w:rFonts w:ascii="Calibri" w:cs="Calibri" w:eastAsia="Calibri" w:hAnsi="Calibri"/>
                <w:b/>
                <w:bCs/>
                <w:color w:val="333333"/>
                <w:sz w:val="18"/>
                <w:szCs w:val="18"/>
              </w:rPr>
              <w:t xml:space="preserve">PR-SF-001</w:t>
            </w:r>
            <w:r>
              <w:rPr>
                <w:rFonts w:ascii="Calibri" w:cs="Calibri" w:eastAsia="Calibri" w:hAnsi="Calibri"/>
                <w:b w:val="false"/>
                <w:bCs w:val="false"/>
                <w:color w:val="333333"/>
                <w:sz w:val="18"/>
                <w:szCs w:val="18"/>
              </w:rPr>
              <w:t xml:space="preserve"> para notificación al SAT.</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Representante legal o apoderado legal</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Firmar, rubricar o presentar comunicaciones formales a la autoridad cuando se active </w:t>
            </w:r>
            <w:r>
              <w:rPr>
                <w:rFonts w:ascii="Calibri" w:cs="Calibri" w:eastAsia="Calibri" w:hAnsi="Calibri"/>
                <w:b/>
                <w:bCs/>
                <w:color w:val="333333"/>
                <w:sz w:val="18"/>
                <w:szCs w:val="18"/>
              </w:rPr>
              <w:t xml:space="preserve">PR-SF-001</w:t>
            </w:r>
            <w:r>
              <w:rPr>
                <w:rFonts w:ascii="Calibri" w:cs="Calibri" w:eastAsia="Calibri" w:hAnsi="Calibri"/>
                <w:b w:val="false"/>
                <w:bCs w:val="false"/>
                <w:color w:val="333333"/>
                <w:sz w:val="18"/>
                <w:szCs w:val="18"/>
              </w:rPr>
              <w:t xml:space="preserve"> o cuando así lo requiera el nivel de impacto del incidente.</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herramienta_glpi" w:id="1"/>
      <w:r>
        <w:t xml:space="preserve"/>
      </w:r>
      <w:bookmarkEnd w:id="1"/>
      <w:r>
        <w:rPr>
          <w:rFonts w:ascii="Calibri" w:cs="Calibri" w:eastAsia="Calibri" w:hAnsi="Calibri"/>
          <w:b/>
          <w:bCs/>
          <w:color w:val="000000"/>
          <w:sz w:val="28"/>
          <w:szCs w:val="28"/>
        </w:rPr>
        <w:t xml:space="preserve">7. HERRAMIENTA GLPI</w:t>
      </w:r>
    </w:p>
    <w:p>
      <w:r>
        <w:rPr>
          <w:sz w:val="2"/>
          <w:szCs w:val="2"/>
        </w:rPr>
        <w:t xml:space="preserve"/>
      </w:r>
    </w:p>
    <w:p>
      <w:pPr>
        <w:spacing w:after="120" w:before="0" w:line="252"/>
        <w:jc w:val="both"/>
      </w:pPr>
      <w:r>
        <w:rPr>
          <w:rFonts w:ascii="Calibri" w:cs="Calibri" w:eastAsia="Calibri" w:hAnsi="Calibri"/>
          <w:b w:val="false"/>
          <w:bCs w:val="false"/>
          <w:color w:val="333333"/>
          <w:sz w:val="20"/>
          <w:szCs w:val="20"/>
        </w:rPr>
        <w:t xml:space="preserve">GLPI será la herramienta oficial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para registrar, clasificar, atender, escalar, documentar y cerrar incidentes y problemas relacionados con la operación del monedero electrónico de combustibles.</w:t>
      </w:r>
    </w:p>
    <w:p>
      <w:pPr>
        <w:spacing w:after="120" w:before="0" w:line="252"/>
        <w:jc w:val="both"/>
      </w:pPr>
      <w:r>
        <w:rPr>
          <w:rFonts w:ascii="Calibri" w:cs="Calibri" w:eastAsia="Calibri" w:hAnsi="Calibri"/>
          <w:b w:val="false"/>
          <w:bCs w:val="false"/>
          <w:color w:val="333333"/>
          <w:sz w:val="20"/>
          <w:szCs w:val="20"/>
        </w:rPr>
        <w:t xml:space="preserve">El ticket en </w:t>
      </w:r>
      <w:r>
        <w:rPr>
          <w:rFonts w:ascii="Calibri" w:cs="Calibri" w:eastAsia="Calibri" w:hAnsi="Calibri"/>
          <w:b/>
          <w:bCs/>
          <w:color w:val="333333"/>
          <w:sz w:val="20"/>
          <w:szCs w:val="20"/>
        </w:rPr>
        <w:t xml:space="preserve">GLPI </w:t>
      </w:r>
      <w:r>
        <w:rPr>
          <w:rFonts w:ascii="Calibri" w:cs="Calibri" w:eastAsia="Calibri" w:hAnsi="Calibri"/>
          <w:b w:val="false"/>
          <w:bCs w:val="false"/>
          <w:color w:val="333333"/>
          <w:sz w:val="20"/>
          <w:szCs w:val="20"/>
        </w:rPr>
        <w:t xml:space="preserve">será la evidencia primaria de cumplimiento, siempre que contenga trazabilidad suficiente de fechas, responsables, clasificación, acciones, evidencias, aprobaciones, escalamiento, remediación y cierre.</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Elemento</w:t>
            </w:r>
          </w:p>
        </w:tc>
        <w:tc>
          <w:tcPr>
            <w:tcW w:type="dxa" w:w="512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Criterio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Campos mínimos obligatorios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ID de ticket, fecha y hora, reportante, categoría, tipo de registro, severidad, prioridad, activo afectado, proceso afectado, descripción, impacto, evidencia inicial, responsable asignado, proveedor involucrado, estado, SLA, acciones de contención, causa raíz, remediación, validación y cierre.</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Tipos de registro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Evento, incidente, problema, solicitud de servicio, tarea técnica, cambio relacionado y base de conocimiento.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Categorías mínimas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Confidencialidad, integridad, disponibilidad, acceso lógico, infraestructura, red, base de datos, aplicación, transacciones, respaldos, proveedor, atención a clientes, vulnerabilidad, malware y continuidad.</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Evidencia adjunta</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Capturas, logs, reportes SOPHOS/XDR, bitácoras de firewall, bitácoras del monedero, alertas, correos, acuses, evidencias de respaldo/restauración, pruebas de disponibilidad y comunicaciones con ENERFUEL TECH.</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Base de conocimientos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Al cierre de incidentes SEV-1, SEV-2 o problemas recurrentes, se deberá crear o actualizar artículo de conocimiento con síntomas, causa raíz, solución y controles preventivos.</w:t>
            </w:r>
          </w:p>
        </w:tc>
      </w:tr>
    </w:tbl>
    <w:p>
      <w:r>
        <w:rPr>
          <w:sz w:val="2"/>
          <w:szCs w:val="2"/>
        </w:rPr>
        <w:t xml:space="preserve"/>
      </w:r>
    </w:p>
    <w:p>
      <w:r>
        <w:t xml:space="preserve"> </w:t>
      </w:r>
    </w:p>
    <w:p>
      <w:pPr>
        <w:pStyle w:val="Heading1"/>
        <w:pBdr>
          <w:bottom w:val="single" w:color="D9D9D9" w:sz="4" w:space="8"/>
        </w:pBdr>
        <w:spacing w:after="200" w:before="400" w:line="240"/>
      </w:pPr>
      <w:bookmarkStart w:name="section_7_clasificacion_de_incidentes_y_problemas" w:id="1"/>
      <w:r>
        <w:t xml:space="preserve"/>
      </w:r>
      <w:bookmarkEnd w:id="1"/>
      <w:r>
        <w:rPr>
          <w:rFonts w:ascii="Calibri" w:cs="Calibri" w:eastAsia="Calibri" w:hAnsi="Calibri"/>
          <w:b/>
          <w:bCs/>
          <w:color w:val="000000"/>
          <w:sz w:val="28"/>
          <w:szCs w:val="28"/>
        </w:rPr>
        <w:t xml:space="preserve">8. CLASIFICACIÓN DE INCIDENTES Y PROBLEMAS</w:t>
      </w:r>
    </w:p>
    <w:p>
      <w:r>
        <w:rPr>
          <w:sz w:val="2"/>
          <w:szCs w:val="2"/>
        </w:rPr>
        <w:t xml:space="preserve"/>
      </w:r>
    </w:p>
    <w:p>
      <w:pPr>
        <w:spacing w:after="120" w:before="0" w:line="252"/>
        <w:jc w:val="both"/>
      </w:pPr>
      <w:r>
        <w:rPr>
          <w:rFonts w:ascii="Calibri" w:cs="Calibri" w:eastAsia="Calibri" w:hAnsi="Calibri"/>
          <w:b w:val="false"/>
          <w:bCs w:val="false"/>
          <w:color w:val="333333"/>
          <w:sz w:val="20"/>
          <w:szCs w:val="20"/>
        </w:rPr>
        <w:t xml:space="preserve">La clasificación deberá realizarse durante el registro inicial o, a más tardar, dentro del tiempo de respuesta definido para cada severidad. La severidad puede modificarse durante la investigación, siempre que GLPI conserve el historial del cambio y la justificación.</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Clasificación</w:t>
            </w:r>
          </w:p>
        </w:tc>
        <w:tc>
          <w:tcPr>
            <w:tcW w:type="dxa" w:w="512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Criterio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SEV-1 Crítico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Incidente que afecta o puede afectar información de contribuyentes, saldos, transacciones, compensación/liquidación, autorización de operaciones, disponibilidad del monedero, infraestructura NGX, activación de </w:t>
            </w:r>
            <w:r>
              <w:rPr>
                <w:rFonts w:ascii="Calibri" w:cs="Calibri" w:eastAsia="Calibri" w:hAnsi="Calibri"/>
                <w:b/>
                <w:bCs/>
                <w:color w:val="333333"/>
                <w:sz w:val="18"/>
                <w:szCs w:val="18"/>
              </w:rPr>
              <w:t xml:space="preserve">ASSETEL</w:t>
            </w:r>
            <w:r>
              <w:rPr>
                <w:rFonts w:ascii="Calibri" w:cs="Calibri" w:eastAsia="Calibri" w:hAnsi="Calibri"/>
                <w:b w:val="false"/>
                <w:bCs w:val="false"/>
                <w:color w:val="333333"/>
                <w:sz w:val="18"/>
                <w:szCs w:val="18"/>
              </w:rPr>
              <w:t xml:space="preserve">, intrusión, ransomware, exfiltración o pérdida de integridad.</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SEV-2 Alto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Incidente con impacto operativo relevante o potencial de escalar a SEV-1: falla parcial de servicios, errores recurrentes de transacción, afectación a controles de seguridad, vulnerabilidad explotable o indisponibilidad limitada.</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SEV-3 Medio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Incidente acotado a un usuario, módulo, servicio no crítico o degradación que no afecta información de contribuyentes ni procesos críticos del monedero.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SEV-4 Bajo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Evento sin impacto material, solicitud de revisión, alerta informativa, falso positivo validado o incidencia documental sin afectación operativa.</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Problema</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Causa raíz desconocida o recurrente asociada a uno o más incidentes. Debe documentarse en GLPI como problema cuando existan incidentes repetitivos, fallas recurrentes, tendencia de errores o necesidad de análisis de causa raíz.</w:t>
            </w:r>
          </w:p>
        </w:tc>
      </w:tr>
    </w:tbl>
    <w:p>
      <w:r>
        <w:rPr>
          <w:sz w:val="2"/>
          <w:szCs w:val="2"/>
        </w:rPr>
        <w:t xml:space="preserve"/>
      </w:r>
    </w:p>
    <w:p>
      <w:r>
        <w:t xml:space="preserve"> </w:t>
      </w:r>
    </w:p>
    <w:p>
      <w:pPr>
        <w:pStyle w:val="Heading1"/>
        <w:pBdr>
          <w:bottom w:val="single" w:color="D9D9D9" w:sz="4" w:space="8"/>
        </w:pBdr>
        <w:spacing w:after="200" w:before="400" w:line="240"/>
      </w:pPr>
      <w:bookmarkStart w:name="section_8_descripcion_del_procedimiento" w:id="1"/>
      <w:r>
        <w:t xml:space="preserve"/>
      </w:r>
      <w:bookmarkEnd w:id="1"/>
      <w:r>
        <w:rPr>
          <w:rFonts w:ascii="Calibri" w:cs="Calibri" w:eastAsia="Calibri" w:hAnsi="Calibri"/>
          <w:b/>
          <w:bCs/>
          <w:color w:val="000000"/>
          <w:sz w:val="28"/>
          <w:szCs w:val="28"/>
        </w:rPr>
        <w:t xml:space="preserve">9. DESCRIPCIÓN DEL PROCEDIMIENTO</w:t>
      </w:r>
    </w:p>
    <w:p>
      <w:r>
        <w:rPr>
          <w:sz w:val="2"/>
          <w:szCs w:val="2"/>
        </w:rPr>
        <w:t xml:space="preserve"/>
      </w:r>
    </w:p>
    <w:p>
      <w:pPr>
        <w:pStyle w:val="Heading2"/>
        <w:spacing w:after="200" w:before="400" w:line="240"/>
        <w:jc w:val="left"/>
      </w:pPr>
      <w:r>
        <w:rPr>
          <w:rFonts w:ascii="Calibri" w:cs="Calibri" w:eastAsia="Calibri" w:hAnsi="Calibri"/>
          <w:b/>
          <w:bCs/>
          <w:color w:val="000000"/>
          <w:sz w:val="20"/>
          <w:szCs w:val="20"/>
        </w:rPr>
        <w:t xml:space="preserve">Detección y registro inicial GLPI</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evento puede originarse por reporte de usuario, alerta de monitoreo, </w:t>
      </w:r>
      <w:r>
        <w:rPr>
          <w:rFonts w:ascii="Calibri" w:cs="Calibri" w:eastAsia="Calibri" w:hAnsi="Calibri"/>
          <w:b/>
          <w:bCs/>
          <w:color w:val="333333"/>
          <w:sz w:val="20"/>
          <w:szCs w:val="20"/>
        </w:rPr>
        <w:t xml:space="preserve">SOPHOS</w:t>
      </w:r>
      <w:r>
        <w:rPr>
          <w:rFonts w:ascii="Calibri" w:cs="Calibri" w:eastAsia="Calibri" w:hAnsi="Calibri"/>
          <w:b w:val="false"/>
          <w:bCs w:val="false"/>
          <w:color w:val="333333"/>
          <w:sz w:val="20"/>
          <w:szCs w:val="20"/>
        </w:rPr>
        <w:t xml:space="preserve">/</w:t>
      </w:r>
      <w:r>
        <w:rPr>
          <w:rFonts w:ascii="Calibri" w:cs="Calibri" w:eastAsia="Calibri" w:hAnsi="Calibri"/>
          <w:b/>
          <w:bCs/>
          <w:color w:val="333333"/>
          <w:sz w:val="20"/>
          <w:szCs w:val="20"/>
        </w:rPr>
        <w:t xml:space="preserve">XDR</w:t>
      </w:r>
      <w:r>
        <w:rPr>
          <w:rFonts w:ascii="Calibri" w:cs="Calibri" w:eastAsia="Calibri" w:hAnsi="Calibri"/>
          <w:b w:val="false"/>
          <w:bCs w:val="false"/>
          <w:color w:val="333333"/>
          <w:sz w:val="20"/>
          <w:szCs w:val="20"/>
        </w:rPr>
        <w:t xml:space="preserve">, bitácoras, firewall, proveedor, auditoría, revisión de logs, falla transaccional o indisponibilidad del sistema.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 evento, incidente o problema deberá registrarse en GLPI. Si el usuario no tiene acceso, Mesa de Servicio registrará el ticket con la información disponible.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registro deberá indicar si el evento afecta autorización de transacciones, compensación/liquidación, atención a clientes, centro de datos </w:t>
      </w:r>
      <w:r>
        <w:rPr>
          <w:rFonts w:ascii="Calibri" w:cs="Calibri" w:eastAsia="Calibri" w:hAnsi="Calibri"/>
          <w:b/>
          <w:bCs/>
          <w:color w:val="333333"/>
          <w:sz w:val="20"/>
          <w:szCs w:val="20"/>
        </w:rPr>
        <w:t xml:space="preserve">NGX</w:t>
      </w:r>
      <w:r>
        <w:rPr>
          <w:rFonts w:ascii="Calibri" w:cs="Calibri" w:eastAsia="Calibri" w:hAnsi="Calibri"/>
          <w:b w:val="false"/>
          <w:bCs w:val="false"/>
          <w:color w:val="333333"/>
          <w:sz w:val="20"/>
          <w:szCs w:val="20"/>
        </w:rPr>
        <w:t xml:space="preserve">, centro de datos </w:t>
      </w:r>
      <w:r>
        <w:rPr>
          <w:rFonts w:ascii="Calibri" w:cs="Calibri" w:eastAsia="Calibri" w:hAnsi="Calibri"/>
          <w:b/>
          <w:bCs/>
          <w:color w:val="333333"/>
          <w:sz w:val="20"/>
          <w:szCs w:val="20"/>
        </w:rPr>
        <w:t xml:space="preserve">ASSETEL</w:t>
      </w:r>
      <w:r>
        <w:rPr>
          <w:rFonts w:ascii="Calibri" w:cs="Calibri" w:eastAsia="Calibri" w:hAnsi="Calibri"/>
          <w:b w:val="false"/>
          <w:bCs w:val="false"/>
          <w:color w:val="333333"/>
          <w:sz w:val="20"/>
          <w:szCs w:val="20"/>
        </w:rPr>
        <w:t xml:space="preserve">, respaldos, seguridad o proveedor.</w:t>
      </w:r>
    </w:p>
    <w:p>
      <w:pPr>
        <w:pStyle w:val="Heading2"/>
        <w:spacing w:after="200" w:before="400" w:line="240"/>
        <w:jc w:val="left"/>
      </w:pPr>
      <w:r>
        <w:rPr>
          <w:rFonts w:ascii="Calibri" w:cs="Calibri" w:eastAsia="Calibri" w:hAnsi="Calibri"/>
          <w:b/>
          <w:bCs/>
          <w:color w:val="000000"/>
          <w:sz w:val="20"/>
          <w:szCs w:val="20"/>
        </w:rPr>
        <w:t xml:space="preserve">Clasificación inicial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Mesa de Servicio realiza clasificación inicial con base en impacto, urgencia, activo afectado y posible afectación a información de contribuyentes.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Oficial de Seguridad valida o corrige la severidad del incidente y define si se requiere escalamiento a Gerencia, </w:t>
      </w:r>
      <w:r>
        <w:rPr>
          <w:rFonts w:ascii="Calibri" w:cs="Calibri" w:eastAsia="Calibri" w:hAnsi="Calibri"/>
          <w:b/>
          <w:bCs/>
          <w:color w:val="333333"/>
          <w:sz w:val="20"/>
          <w:szCs w:val="20"/>
        </w:rPr>
        <w:t xml:space="preserve">ENERFUEL TECH</w:t>
      </w:r>
      <w:r>
        <w:rPr>
          <w:rFonts w:ascii="Calibri" w:cs="Calibri" w:eastAsia="Calibri" w:hAnsi="Calibri"/>
          <w:b w:val="false"/>
          <w:bCs w:val="false"/>
          <w:color w:val="333333"/>
          <w:sz w:val="20"/>
          <w:szCs w:val="20"/>
        </w:rPr>
        <w:t xml:space="preserve">, Comité de Crisis o </w:t>
      </w:r>
      <w:r>
        <w:rPr>
          <w:rFonts w:ascii="Calibri" w:cs="Calibri" w:eastAsia="Calibri" w:hAnsi="Calibri"/>
          <w:b/>
          <w:bCs/>
          <w:color w:val="333333"/>
          <w:sz w:val="20"/>
          <w:szCs w:val="20"/>
        </w:rPr>
        <w:t xml:space="preserve">PR-SF-001</w:t>
      </w:r>
      <w:r>
        <w:rPr>
          <w:rFonts w:ascii="Calibri" w:cs="Calibri" w:eastAsia="Calibri" w:hAnsi="Calibri"/>
          <w:b w:val="false"/>
          <w:bCs w:val="false"/>
          <w:color w:val="333333"/>
          <w:sz w:val="20"/>
          <w:szCs w:val="20"/>
        </w:rPr>
        <w:t xml:space="preserve">.</w:t>
      </w:r>
    </w:p>
    <w:p>
      <w:pPr>
        <w:pStyle w:val="Heading2"/>
        <w:spacing w:after="200" w:before="400" w:line="240"/>
        <w:jc w:val="both"/>
      </w:pPr>
      <w:r>
        <w:rPr>
          <w:rFonts w:ascii="Calibri" w:cs="Calibri" w:eastAsia="Calibri" w:hAnsi="Calibri"/>
          <w:b/>
          <w:bCs/>
          <w:color w:val="000000"/>
          <w:sz w:val="20"/>
          <w:szCs w:val="20"/>
        </w:rPr>
        <w:t xml:space="preserve">Contención y escalamiento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Para incidentes SEV-1 o SEV-2, se deberán aplicar acciones de contención de manera prioritaria: aislamiento de cuenta, bloqueo de IP, deshabilitación temporal de servicio, suspensión de credenciales, reversión de configuración, activación de alta disponibilidad o ejecución de respaldos.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 acceso de </w:t>
      </w:r>
      <w:r>
        <w:rPr>
          <w:rFonts w:ascii="Calibri" w:cs="Calibri" w:eastAsia="Calibri" w:hAnsi="Calibri"/>
          <w:b/>
          <w:bCs/>
          <w:color w:val="333333"/>
          <w:sz w:val="20"/>
          <w:szCs w:val="20"/>
        </w:rPr>
        <w:t xml:space="preserve">ENERFUEL TECH </w:t>
      </w:r>
      <w:r>
        <w:rPr>
          <w:rFonts w:ascii="Calibri" w:cs="Calibri" w:eastAsia="Calibri" w:hAnsi="Calibri"/>
          <w:b w:val="false"/>
          <w:bCs w:val="false"/>
          <w:color w:val="333333"/>
          <w:sz w:val="20"/>
          <w:szCs w:val="20"/>
        </w:rPr>
        <w:t xml:space="preserve">deberá quedar documentado en GLPI, incluyendo responsable, alcance, fecha, hora, actividad ejecutada y evidencia generada.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Si el incidente afecta la continuidad operativa, se deberá evaluar la activación del BCP o DRP y registrar la decisión en el ticket.</w:t>
      </w:r>
    </w:p>
    <w:p>
      <w:pPr>
        <w:pStyle w:val="Heading2"/>
        <w:spacing w:after="200" w:before="400" w:line="240"/>
        <w:jc w:val="left"/>
      </w:pPr>
      <w:r>
        <w:rPr>
          <w:rFonts w:ascii="Calibri" w:cs="Calibri" w:eastAsia="Calibri" w:hAnsi="Calibri"/>
          <w:b/>
          <w:bCs/>
          <w:color w:val="000000"/>
          <w:sz w:val="20"/>
          <w:szCs w:val="20"/>
        </w:rPr>
        <w:t xml:space="preserve">Recolección y preservación de evidencia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Antes de remediar, cuando sea posible, deberán preservarse logs, capturas, indicadores, reportes, hashes, bitácoras, configuración afectada, alertas y cualquier evidencia técnica relevante.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evidencia deberá adjuntarse al ticket GLPI o referenciarse en un repositorio controlado, evitando exposición innecesaria de datos personales o información de contribuyentes.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Para incidentes críticos, el Oficial de Seguridad definirá si se requiere cadena de custodia interna, evidencia de solo lectura o generación de hash de integridad.</w:t>
      </w:r>
    </w:p>
    <w:p>
      <w:pPr>
        <w:pStyle w:val="Heading2"/>
        <w:spacing w:after="200" w:before="400" w:line="240"/>
        <w:jc w:val="left"/>
      </w:pPr>
      <w:r>
        <w:rPr>
          <w:rFonts w:ascii="Calibri" w:cs="Calibri" w:eastAsia="Calibri" w:hAnsi="Calibri"/>
          <w:b/>
          <w:bCs/>
          <w:color w:val="000000"/>
          <w:sz w:val="20"/>
          <w:szCs w:val="20"/>
        </w:rPr>
        <w:t xml:space="preserve">Investigación, causa raíz y problema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responsable técnico deberá documentar diagnóstico, causa probable, causa raíz, activos afectados, periodo de afectación, transacciones potencialmente impactadas y acciones ejecutadas.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Cuando la causa raíz no pueda resolverse en el mismo ticket, o cuando existan incidentes repetitivos, se abrirá un registro de problema en GLPI y se vincularán los tickets relacionados.</w:t>
      </w:r>
    </w:p>
    <w:p>
      <w:pPr>
        <w:pStyle w:val="Heading2"/>
        <w:spacing w:after="200" w:before="400" w:line="240"/>
        <w:jc w:val="left"/>
      </w:pPr>
      <w:r>
        <w:rPr>
          <w:rFonts w:ascii="Calibri" w:cs="Calibri" w:eastAsia="Calibri" w:hAnsi="Calibri"/>
          <w:b/>
          <w:bCs/>
          <w:color w:val="000000"/>
          <w:sz w:val="20"/>
          <w:szCs w:val="20"/>
        </w:rPr>
        <w:t xml:space="preserve">Remediación y recuperación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remediación deberá corregir la causa raíz y no únicamente el síntoma. Cuando requiera cambio técnico, deberá documentarse autorización, pruebas, resultado y responsable.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recuperación deberá validar disponibilidad del monedero, autenticación, consulta de saldos, autorización de transacciones, consulta de movimientos, bitácoras y, cuando aplique, compensación/liquidación.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Si fue necesario restaurar respaldos, deberá documentarse la fuente, fecha/hora, responsable, resultado de restauración y validación contra </w:t>
      </w:r>
      <w:r>
        <w:rPr>
          <w:rFonts w:ascii="Calibri" w:cs="Calibri" w:eastAsia="Calibri" w:hAnsi="Calibri"/>
          <w:b/>
          <w:bCs/>
          <w:color w:val="333333"/>
          <w:sz w:val="20"/>
          <w:szCs w:val="20"/>
        </w:rPr>
        <w:t xml:space="preserve">PO-SF-014</w:t>
      </w:r>
      <w:r>
        <w:rPr>
          <w:rFonts w:ascii="Calibri" w:cs="Calibri" w:eastAsia="Calibri" w:hAnsi="Calibri"/>
          <w:b w:val="false"/>
          <w:bCs w:val="false"/>
          <w:color w:val="333333"/>
          <w:sz w:val="20"/>
          <w:szCs w:val="20"/>
        </w:rPr>
        <w:t xml:space="preserve">.</w:t>
      </w:r>
    </w:p>
    <w:p>
      <w:pPr>
        <w:pStyle w:val="Heading2"/>
        <w:spacing w:after="200" w:before="400" w:line="240"/>
        <w:jc w:val="left"/>
      </w:pPr>
      <w:r>
        <w:rPr>
          <w:rFonts w:ascii="Calibri" w:cs="Calibri" w:eastAsia="Calibri" w:hAnsi="Calibri"/>
          <w:b/>
          <w:bCs/>
          <w:color w:val="000000"/>
          <w:sz w:val="20"/>
          <w:szCs w:val="20"/>
        </w:rPr>
        <w:t xml:space="preserve">Notificación al SAT</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Cuando el incidente afecte o pueda afectar la confidencialidad, integridad o disponibilidad de información de contribuyentes, la Gerencia y el Oficial de Seguridad evaluarán la activación del</w:t>
      </w:r>
      <w:r>
        <w:rPr>
          <w:rFonts w:ascii="Calibri" w:cs="Calibri" w:eastAsia="Calibri" w:hAnsi="Calibri"/>
          <w:b/>
          <w:bCs/>
          <w:color w:val="333333"/>
          <w:sz w:val="20"/>
          <w:szCs w:val="20"/>
        </w:rPr>
        <w:t xml:space="preserve"> PR-SF-001.</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Si se confirma afectación a información de contribuyentes,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realizará la notificación al SAT conforme al </w:t>
      </w:r>
      <w:r>
        <w:rPr>
          <w:rFonts w:ascii="Calibri" w:cs="Calibri" w:eastAsia="Calibri" w:hAnsi="Calibri"/>
          <w:b/>
          <w:bCs/>
          <w:color w:val="333333"/>
          <w:sz w:val="20"/>
          <w:szCs w:val="20"/>
        </w:rPr>
        <w:t xml:space="preserve">PR-SF-001</w:t>
      </w:r>
      <w:r>
        <w:rPr>
          <w:rFonts w:ascii="Calibri" w:cs="Calibri" w:eastAsia="Calibri" w:hAnsi="Calibri"/>
          <w:b w:val="false"/>
          <w:bCs w:val="false"/>
          <w:color w:val="333333"/>
          <w:sz w:val="20"/>
          <w:szCs w:val="20"/>
        </w:rPr>
        <w:t xml:space="preserve">, conservando acuses, correos, escritos y evidencia de seguimiento.</w:t>
      </w:r>
    </w:p>
    <w:p>
      <w:pPr>
        <w:pStyle w:val="Heading2"/>
        <w:spacing w:after="200" w:before="400" w:line="240"/>
        <w:jc w:val="left"/>
      </w:pPr>
      <w:r>
        <w:rPr>
          <w:rFonts w:ascii="Calibri" w:cs="Calibri" w:eastAsia="Calibri" w:hAnsi="Calibri"/>
          <w:b/>
          <w:bCs/>
          <w:color w:val="000000"/>
          <w:sz w:val="20"/>
          <w:szCs w:val="20"/>
        </w:rPr>
        <w:t xml:space="preserve">Cierre y lecciones aprendidas</w:t>
      </w:r>
    </w:p>
    <w:p>
      <w:pPr>
        <w:spacing w:after="120" w:before="0" w:line="276"/>
        <w:jc w:val="left"/>
      </w:pPr>
      <w:r>
        <w:rPr>
          <w:rFonts w:ascii="Calibri" w:cs="Calibri" w:eastAsia="Calibri" w:hAnsi="Calibri"/>
          <w:b w:val="false"/>
          <w:bCs w:val="false"/>
          <w:color w:val="333333"/>
          <w:sz w:val="20"/>
          <w:szCs w:val="20"/>
        </w:rPr>
        <w:t xml:space="preserve">• El cierre del ticket requiere validación del solicitante o dueño del proceso, evidencia de remediación, causa raíz, acciones correctivas y confirmación de que no existe afectación pendiente.</w:t>
      </w:r>
    </w:p>
    <w:p>
      <w:pPr>
        <w:spacing w:after="120" w:before="0" w:line="276"/>
        <w:jc w:val="left"/>
      </w:pPr>
      <w:r>
        <w:rPr>
          <w:rFonts w:ascii="Calibri" w:cs="Calibri" w:eastAsia="Calibri" w:hAnsi="Calibri"/>
          <w:b w:val="false"/>
          <w:bCs w:val="false"/>
          <w:color w:val="333333"/>
          <w:sz w:val="20"/>
          <w:szCs w:val="20"/>
        </w:rPr>
        <w:t xml:space="preserve">• Los incidentes SEV-1, SEV-2 y problemas recurrentes deberán generar lección aprendida y actualización de base de conocimientos en GLPI.</w:t>
      </w:r>
    </w:p>
    <w:p>
      <w:pPr>
        <w:spacing w:after="120" w:before="0" w:line="276"/>
        <w:jc w:val="left"/>
      </w:pPr>
      <w:r>
        <w:rPr>
          <w:rFonts w:ascii="Calibri" w:cs="Calibri" w:eastAsia="Calibri" w:hAnsi="Calibri"/>
          <w:b w:val="false"/>
          <w:bCs w:val="false"/>
          <w:color w:val="333333"/>
          <w:sz w:val="20"/>
          <w:szCs w:val="20"/>
        </w:rPr>
        <w:t xml:space="preserve">• Cuando el incidente revele debilidad de control, deberá actualizarse la matriz de riesgos, plan de tratamiento o documento relacionado.</w:t>
      </w:r>
    </w:p>
    <w:p>
      <w:r>
        <w:t xml:space="preserve"> </w:t>
      </w:r>
    </w:p>
    <w:p>
      <w:pPr>
        <w:pStyle w:val="Heading1"/>
        <w:pBdr>
          <w:bottom w:val="single" w:color="D9D9D9" w:sz="4" w:space="8"/>
        </w:pBdr>
        <w:spacing w:after="200" w:before="400" w:line="240"/>
      </w:pPr>
      <w:bookmarkStart w:name="section_9_escalamiento_y_tiempos_de_respuesta" w:id="1"/>
      <w:r>
        <w:t xml:space="preserve"/>
      </w:r>
      <w:bookmarkEnd w:id="1"/>
      <w:r>
        <w:rPr>
          <w:rFonts w:ascii="Calibri" w:cs="Calibri" w:eastAsia="Calibri" w:hAnsi="Calibri"/>
          <w:b/>
          <w:bCs/>
          <w:color w:val="000000"/>
          <w:sz w:val="28"/>
          <w:szCs w:val="28"/>
        </w:rPr>
        <w:t xml:space="preserve">10. ESCALAMIENTO Y TIEMPOS DE RESPUESTA</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2048"/>
        <w:gridCol w:w="2048"/>
        <w:gridCol w:w="2048"/>
        <w:gridCol w:w="2048"/>
      </w:tblGrid>
      <w:tr>
        <w:trPr>
          <w:cantSplit w:val="false"/>
        </w:trPr>
        <w:tc>
          <w:tcPr>
            <w:tcW w:type="dxa" w:w="2048"/>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Severidad / tipo</w:t>
            </w:r>
          </w:p>
        </w:tc>
        <w:tc>
          <w:tcPr>
            <w:tcW w:type="dxa" w:w="2048"/>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Tiempo de registro y clasificación</w:t>
            </w:r>
          </w:p>
        </w:tc>
        <w:tc>
          <w:tcPr>
            <w:tcW w:type="dxa" w:w="2048"/>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Tiempo de respuesta / seguimiento</w:t>
            </w:r>
          </w:p>
        </w:tc>
        <w:tc>
          <w:tcPr>
            <w:tcW w:type="dxa" w:w="2048"/>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Escalamiento</w:t>
            </w:r>
          </w:p>
        </w:tc>
        <w:tc>
          <w:tcPr>
            <w:tcW w:type="dxa" w:w="2048"/>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Notas</w:t>
            </w:r>
          </w:p>
        </w:tc>
      </w:tr>
      <w:tr>
        <w:trPr>
          <w:cantSplit w:val="false"/>
        </w:trPr>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SEV-1 Crítico</w:t>
            </w:r>
          </w:p>
        </w:tc>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Registro inmediato en GLPI. Clasificación inicial en máximo 30 minutos.</w:t>
            </w:r>
          </w:p>
        </w:tc>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Contención inicial en máximo 1 hora. Actualizaciones cada 30 minutos hasta estabilización.</w:t>
            </w:r>
          </w:p>
        </w:tc>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Mesa de Servicio, Oficial de Seguridad, Gerencia, ENERFUEL TECH, Comité de Crisis y, si aplica, PR-SF-001.</w:t>
            </w:r>
          </w:p>
        </w:tc>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Puede requerir BCP/DRP, ASSETEL, notificación al SAT y registro reforzado de evidencia.</w:t>
            </w:r>
          </w:p>
        </w:tc>
      </w:tr>
      <w:tr>
        <w:trPr>
          <w:cantSplit w:val="false"/>
        </w:trPr>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SEV-2 Alto</w:t>
            </w:r>
          </w:p>
        </w:tc>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Registro inmediato o dentro de 1 hora desde detección.</w:t>
            </w:r>
          </w:p>
        </w:tc>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Contención inicial en máximo 4 horas. Actualizaciones cada 2 horas.</w:t>
            </w:r>
          </w:p>
        </w:tc>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Mesa de Servicio, Oficial de Seguridad, ENERFUEL TECH y dueño del proceso.</w:t>
            </w:r>
          </w:p>
        </w:tc>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Puede escalar a SEV-1 si afecta información de contribuyentes o disponibilidad crítica.</w:t>
            </w:r>
          </w:p>
        </w:tc>
      </w:tr>
      <w:tr>
        <w:trPr>
          <w:cantSplit w:val="false"/>
        </w:trPr>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SEV-3 Medio</w:t>
            </w:r>
          </w:p>
        </w:tc>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Registro dentro de la jornada laboral o máximo 8 horas hábiles.</w:t>
            </w:r>
          </w:p>
        </w:tc>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Atención dentro de 1 día hábil, salvo que el dueño del proceso justifique prioridad mayor.</w:t>
            </w:r>
          </w:p>
        </w:tc>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Mesa de Servicio, responsable técnico y dueño del proceso.</w:t>
            </w:r>
          </w:p>
        </w:tc>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Documentar causa y cierre en GLPI.</w:t>
            </w:r>
          </w:p>
        </w:tc>
      </w:tr>
      <w:tr>
        <w:trPr>
          <w:cantSplit w:val="false"/>
        </w:trPr>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SEV-4 Bajo</w:t>
            </w:r>
          </w:p>
        </w:tc>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Registro dentro de 1 día hábil.</w:t>
            </w:r>
          </w:p>
        </w:tc>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Atención de 2 a 5 días hábiles según prioridad y carga operativa.</w:t>
            </w:r>
          </w:p>
        </w:tc>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Mesa de Servicio o responsable asignado.</w:t>
            </w:r>
          </w:p>
        </w:tc>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Puede cerrarse como solicitud, evento o falso positivo validado.</w:t>
            </w:r>
          </w:p>
        </w:tc>
      </w:tr>
      <w:tr>
        <w:trPr>
          <w:cantSplit w:val="false"/>
        </w:trPr>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Problema</w:t>
            </w:r>
          </w:p>
        </w:tc>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Apertura cuando existan incidentes recurrentes o causa raíz desconocida.</w:t>
            </w:r>
          </w:p>
        </w:tc>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Análisis de causa raíz dentro de 5 a 10 días hábiles, según criticidad.</w:t>
            </w:r>
          </w:p>
        </w:tc>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Oficial de Seguridad, responsable técnico, ENERFUEL TECH y dueño del proceso.</w:t>
            </w:r>
          </w:p>
        </w:tc>
        <w:tc>
          <w:tcPr>
            <w:tcW w:type="dxa" w:w="2048"/>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Debe vincular incidentes relacionados, plan de remediación y base de conocimientos.</w:t>
            </w:r>
          </w:p>
        </w:tc>
      </w:tr>
    </w:tbl>
    <w:p>
      <w:r>
        <w:rPr>
          <w:sz w:val="2"/>
          <w:szCs w:val="2"/>
        </w:rPr>
        <w:t xml:space="preserve"/>
      </w:r>
    </w:p>
    <w:p>
      <w:r>
        <w:t xml:space="preserve"> </w:t>
      </w:r>
    </w:p>
    <w:p>
      <w:pPr>
        <w:pStyle w:val="Heading1"/>
        <w:pBdr>
          <w:bottom w:val="single" w:color="D9D9D9" w:sz="4" w:space="8"/>
        </w:pBdr>
        <w:spacing w:after="200" w:before="400" w:line="240"/>
      </w:pPr>
      <w:bookmarkStart w:name="section_10_evidencia_resguardo_y_base_de_conocimientos" w:id="1"/>
      <w:r>
        <w:t xml:space="preserve"/>
      </w:r>
      <w:bookmarkEnd w:id="1"/>
      <w:r>
        <w:rPr>
          <w:rFonts w:ascii="Calibri" w:cs="Calibri" w:eastAsia="Calibri" w:hAnsi="Calibri"/>
          <w:b/>
          <w:bCs/>
          <w:color w:val="000000"/>
          <w:sz w:val="28"/>
          <w:szCs w:val="28"/>
        </w:rPr>
        <w:t xml:space="preserve">11. EVIDENCIA, RESGUARDO Y BASE DE CONOCIMIENTOS</w:t>
      </w:r>
    </w:p>
    <w:p>
      <w:r>
        <w:rPr>
          <w:sz w:val="2"/>
          <w:szCs w:val="2"/>
        </w:rPr>
        <w:t xml:space="preserve"/>
      </w:r>
    </w:p>
    <w:p>
      <w:pPr>
        <w:spacing w:after="120" w:before="0" w:line="252"/>
        <w:jc w:val="both"/>
      </w:pPr>
      <w:r>
        <w:rPr>
          <w:rFonts w:ascii="Calibri" w:cs="Calibri" w:eastAsia="Calibri" w:hAnsi="Calibri"/>
          <w:b w:val="false"/>
          <w:bCs w:val="false"/>
          <w:color w:val="333333"/>
          <w:sz w:val="20"/>
          <w:szCs w:val="20"/>
        </w:rPr>
        <w:t xml:space="preserve">La evidencia de atención a incidentes y problemas deberá conservarse en GLPI y/o en el repositorio documental autorizado por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por un periodo mínimo de cinco años o por el plazo mayor que determine la legislación aplicable o la autoridad.</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Elemento</w:t>
            </w:r>
          </w:p>
        </w:tc>
        <w:tc>
          <w:tcPr>
            <w:tcW w:type="dxa" w:w="512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Evidencia requerida</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Documentación del incidente</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Ticket GLPI, descripción, categoría, severidad, fechas, responsables, activos afectados, impacto y acciones.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Evidencia técnica</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Logs, alertas, capturas, registros de actividad, bitácoras del monedero, reportes SOPHOS/XDR, firewall, base de datos, respaldos y comunicaciones de proveedor.</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Recolección de evidencia</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Debe realizarse antes de remediar cuando sea posible, preservando integridad, trazabilidad y minimización de datos sensibles.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Base de conocimientos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Cada incidente crítico, alto o problema recurrente deberá actualizar o crear un artículo en GLPI con síntomas, causa raíz, solución y controles preventivos.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Remediación</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Debe quedar documentada con acciones correctivas, validación posterior, responsable, fecha, resultado y, cuando aplique, plan de tratamiento de riesgos.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Cierre</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Debe incluir validación del dueño del proceso, evidencia final, decisión de notificación al SAT y estatus final del ticket.</w:t>
            </w:r>
          </w:p>
        </w:tc>
      </w:tr>
    </w:tbl>
    <w:p>
      <w:r>
        <w:rPr>
          <w:sz w:val="2"/>
          <w:szCs w:val="2"/>
        </w:rPr>
        <w:t xml:space="preserve"/>
      </w:r>
    </w:p>
    <w:p>
      <w:r>
        <w:t xml:space="preserve"> </w:t>
      </w:r>
    </w:p>
    <w:p>
      <w:pPr>
        <w:pStyle w:val="Heading1"/>
        <w:pBdr>
          <w:bottom w:val="single" w:color="D9D9D9" w:sz="4" w:space="8"/>
        </w:pBdr>
        <w:spacing w:after="200" w:before="400" w:line="240"/>
      </w:pPr>
      <w:bookmarkStart w:name="section_11_periodicidad_de_revision" w:id="1"/>
      <w:r>
        <w:t xml:space="preserve"/>
      </w:r>
      <w:bookmarkEnd w:id="1"/>
      <w:r>
        <w:rPr>
          <w:rFonts w:ascii="Calibri" w:cs="Calibri" w:eastAsia="Calibri" w:hAnsi="Calibri"/>
          <w:b/>
          <w:bCs/>
          <w:color w:val="000000"/>
          <w:sz w:val="28"/>
          <w:szCs w:val="28"/>
        </w:rPr>
        <w:t xml:space="preserve">12. PERIODICIDAD DE REVISIÓN</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Revisión Ordinaria</w:t>
      </w:r>
    </w:p>
    <w:p>
      <w:pPr>
        <w:spacing w:after="120" w:before="0" w:line="276"/>
        <w:jc w:val="both"/>
      </w:pPr>
      <w:r>
        <w:rPr>
          <w:rFonts w:ascii="Calibri" w:cs="Calibri" w:eastAsia="Calibri" w:hAnsi="Calibri"/>
          <w:b w:val="false"/>
          <w:bCs w:val="false"/>
          <w:color w:val="333333"/>
          <w:sz w:val="20"/>
          <w:szCs w:val="20"/>
        </w:rPr>
        <w:t xml:space="preserve">Este documento deberá ser revisado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both"/>
      </w:pPr>
      <w:r>
        <w:rPr>
          <w:rFonts w:ascii="Calibri" w:cs="Calibri" w:eastAsia="Calibri" w:hAnsi="Calibri"/>
          <w:b/>
          <w:bCs/>
          <w:color w:val="333333"/>
          <w:sz w:val="20"/>
          <w:szCs w:val="20"/>
        </w:rPr>
        <w:t xml:space="preserve">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este documento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both"/>
      </w:pPr>
      <w:r>
        <w:rPr>
          <w:rFonts w:ascii="Calibri" w:cs="Calibri" w:eastAsia="Calibri" w:hAnsi="Calibri"/>
          <w:b/>
          <w:bCs/>
          <w:color w:val="333333"/>
          <w:sz w:val="20"/>
          <w:szCs w:val="20"/>
        </w:rPr>
        <w:t xml:space="preserve">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12_glosario" w:id="1"/>
      <w:r>
        <w:rPr>
          <w:rFonts w:ascii="Calibri" w:cs="Calibri" w:eastAsia="Calibri" w:hAnsi="Calibri"/>
          <w:b/>
          <w:bCs/>
          <w:color w:val="000000"/>
          <w:sz w:val="28"/>
          <w:szCs w:val="28"/>
        </w:rPr>
        <w:t xml:space="preserve">13.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PR-SF-022</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Proceso de gestión de incidentes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12/6/2026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PR-SF-022</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Proceso de gestión de incidentes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12/6/2026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Proceso de gestin de incidentes</dc:title>
  <dc:subject>Proceso</dc:subject>
  <dc:creator>Administrador MAPLINKS</dc:creator>
  <cp:keywords>PR-SF-022</cp:keywords>
  <dc:description>Documento PR-SF-022</dc:description>
  <cp:lastModifiedBy>Administrador MAPLINKS</cp:lastModifiedBy>
  <cp:revision>1</cp:revision>
  <dcterms:created xsi:type="dcterms:W3CDTF">2026-09-30T21:33:50.039Z</dcterms:created>
  <dcterms:modified xsi:type="dcterms:W3CDTF">2026-09-30T21:33:50.039Z</dcterms:modified>
</cp:coreProperties>
</file>

<file path=docProps/custom.xml><?xml version="1.0" encoding="utf-8"?>
<Properties xmlns="http://schemas.openxmlformats.org/officeDocument/2006/custom-properties" xmlns:vt="http://schemas.openxmlformats.org/officeDocument/2006/docPropsVTypes"/>
</file>