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31/3/2026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Se modificó la sección: Definición. Se modificó la sección: Objetivo. Se modificó la sección: Alcance. Se modificó la sección: Normatividad Aplicable. Se añadió la sección: Lineamientos para definir alcance y objetivo de los acuerdos con proveedores.</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MAR├ìA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31/3/2026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MAR├ìA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la relación con sus proveedores se define como un </w:t>
      </w:r>
      <w:r>
        <w:rPr>
          <w:rFonts w:ascii="Calibri" w:cs="Calibri" w:eastAsia="Calibri" w:hAnsi="Calibri"/>
          <w:b/>
          <w:bCs/>
          <w:color w:val="333333"/>
          <w:sz w:val="20"/>
          <w:szCs w:val="20"/>
        </w:rPr>
        <w:t xml:space="preserve">vínculo estratégico y profesional</w:t>
      </w:r>
      <w:r>
        <w:rPr>
          <w:rFonts w:ascii="Calibri" w:cs="Calibri" w:eastAsia="Calibri" w:hAnsi="Calibri"/>
          <w:b w:val="false"/>
          <w:bCs w:val="false"/>
          <w:color w:val="333333"/>
          <w:sz w:val="20"/>
          <w:szCs w:val="20"/>
        </w:rPr>
        <w:t xml:space="preserve"> integrado en nuestra cadena de valor. Esta relación trasciende el intercambio comercial, constituyéndose como una colaboración basada en la </w:t>
      </w:r>
      <w:r>
        <w:rPr>
          <w:rFonts w:ascii="Calibri" w:cs="Calibri" w:eastAsia="Calibri" w:hAnsi="Calibri"/>
          <w:b/>
          <w:bCs/>
          <w:color w:val="333333"/>
          <w:sz w:val="20"/>
          <w:szCs w:val="20"/>
        </w:rPr>
        <w:t xml:space="preserve">eficiencia, la competitividad y la mejora continua, </w:t>
      </w:r>
      <w:r>
        <w:rPr>
          <w:rFonts w:ascii="Calibri" w:cs="Calibri" w:eastAsia="Calibri" w:hAnsi="Calibri"/>
          <w:b w:val="false"/>
          <w:bCs w:val="false"/>
          <w:color w:val="333333"/>
          <w:sz w:val="20"/>
          <w:szCs w:val="20"/>
        </w:rPr>
        <w:t xml:space="preserve">con el fin de asegurar la calidad operativa y la sostenibilidad del negocio a largo plazo.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Definir las relaciones, lineamientos y control sobre el proveedor para poder cumplir con las necesidades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 una forma segura y confiable.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 política aplica para todos los proveedores que establezcan una relación comercial con </w:t>
      </w:r>
      <w:r>
        <w:rPr>
          <w:rFonts w:ascii="Calibri" w:cs="Calibri" w:eastAsia="Calibri" w:hAnsi="Calibri"/>
          <w:b/>
          <w:bCs/>
          <w:color w:val="333333"/>
          <w:sz w:val="20"/>
          <w:szCs w:val="20"/>
        </w:rPr>
        <w:t xml:space="preserve">SENDERO FUEL</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ENERGO - SMART CONSULTING, CONTRATO DE PRESTACIÓN DE SERVICIOS (SEGURIDAD DE LA INFORMACIÓN).pdf</w:t>
      </w:r>
    </w:p>
    <w:p>
      <w:pPr>
        <w:spacing w:after="60" w:before="60" w:line="276"/>
      </w:pPr>
      <w:r>
        <w:rPr>
          <w:rFonts w:ascii="Calibri" w:cs="Calibri" w:eastAsia="Calibri" w:hAnsi="Calibri"/>
          <w:b w:val="false"/>
          <w:bCs w:val="false"/>
          <w:color w:val="333333"/>
          <w:sz w:val="20"/>
          <w:szCs w:val="20"/>
        </w:rPr>
        <w:t xml:space="preserve">• req_3_PO_SF_001_FIRMADO.pdf</w:t>
      </w:r>
    </w:p>
    <w:p>
      <w:pPr>
        <w:spacing w:after="60" w:before="60" w:line="276"/>
      </w:pPr>
      <w:r>
        <w:rPr>
          <w:rFonts w:ascii="Calibri" w:cs="Calibri" w:eastAsia="Calibri" w:hAnsi="Calibri"/>
          <w:b w:val="false"/>
          <w:bCs w:val="false"/>
          <w:color w:val="333333"/>
          <w:sz w:val="20"/>
          <w:szCs w:val="20"/>
        </w:rPr>
        <w:t xml:space="preserve">• EV-SF-097 — ENERGO, CONTRATO DE PRESTACIÓN DE SERVICIOS CORPORATIVO DE ENERGIA.pdf</w:t>
      </w:r>
    </w:p>
    <w:p>
      <w:pPr>
        <w:spacing w:after="60" w:before="60" w:line="276"/>
      </w:pPr>
      <w:r>
        <w:rPr>
          <w:rFonts w:ascii="Calibri" w:cs="Calibri" w:eastAsia="Calibri" w:hAnsi="Calibri"/>
          <w:b w:val="false"/>
          <w:bCs w:val="false"/>
          <w:color w:val="333333"/>
          <w:sz w:val="20"/>
          <w:szCs w:val="20"/>
        </w:rPr>
        <w:t xml:space="preserve">• req_55_PO_SF_002.pdf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Propietario (Accionistas y director general)</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proveedores críticos</w:t>
            </w:r>
          </w:p>
          <w:p>
            <w:pPr>
              <w:jc w:val="left"/>
            </w:pPr>
            <w:r>
              <w:rPr>
                <w:rFonts w:ascii="Calibri" w:cs="Calibri" w:eastAsia="Calibri" w:hAnsi="Calibri"/>
                <w:b w:val="false"/>
                <w:bCs w:val="false"/>
                <w:color w:val="333333"/>
                <w:sz w:val="18"/>
                <w:szCs w:val="18"/>
              </w:rPr>
              <w:t xml:space="preserve">·Autorizar accesos a información sensible</w:t>
            </w:r>
          </w:p>
          <w:p>
            <w:pPr>
              <w:jc w:val="left"/>
            </w:pPr>
            <w:r>
              <w:rPr>
                <w:rFonts w:ascii="Calibri" w:cs="Calibri" w:eastAsia="Calibri" w:hAnsi="Calibri"/>
                <w:b w:val="false"/>
                <w:bCs w:val="false"/>
                <w:color w:val="333333"/>
                <w:sz w:val="18"/>
                <w:szCs w:val="18"/>
              </w:rPr>
              <w:t xml:space="preserve">·Aprobar sanciones y bajas críticas</w:t>
            </w:r>
          </w:p>
          <w:p>
            <w:pPr>
              <w:jc w:val="left"/>
            </w:pPr>
            <w:r>
              <w:rPr>
                <w:rFonts w:ascii="Calibri" w:cs="Calibri" w:eastAsia="Calibri" w:hAnsi="Calibri"/>
                <w:b w:val="false"/>
                <w:bCs w:val="false"/>
                <w:color w:val="333333"/>
                <w:sz w:val="18"/>
                <w:szCs w:val="18"/>
              </w:rPr>
              <w:t xml:space="preserve">·Aprobar cambios mayores.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Área de TI/Infraestructura</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·Crear cuentas de acceso</w:t>
            </w:r>
          </w:p>
          <w:p>
            <w:pPr>
              <w:jc w:val="left"/>
            </w:pPr>
            <w:r>
              <w:rPr>
                <w:rFonts w:ascii="Calibri" w:cs="Calibri" w:eastAsia="Calibri" w:hAnsi="Calibri"/>
                <w:b w:val="false"/>
                <w:bCs w:val="false"/>
                <w:color w:val="333333"/>
                <w:sz w:val="18"/>
                <w:szCs w:val="18"/>
              </w:rPr>
              <w:t xml:space="preserve">·Realizar monitoreo técnico</w:t>
            </w:r>
          </w:p>
          <w:p>
            <w:pPr>
              <w:jc w:val="left"/>
            </w:pPr>
            <w:r>
              <w:rPr>
                <w:rFonts w:ascii="Calibri" w:cs="Calibri" w:eastAsia="Calibri" w:hAnsi="Calibri"/>
                <w:b w:val="false"/>
                <w:bCs w:val="false"/>
                <w:color w:val="333333"/>
                <w:sz w:val="18"/>
                <w:szCs w:val="18"/>
              </w:rPr>
              <w:t xml:space="preserve">·Validar cambios tecnológicos</w:t>
            </w:r>
          </w:p>
          <w:p>
            <w:pPr>
              <w:jc w:val="left"/>
            </w:pPr>
            <w:r>
              <w:rPr>
                <w:rFonts w:ascii="Calibri" w:cs="Calibri" w:eastAsia="Calibri" w:hAnsi="Calibri"/>
                <w:b w:val="false"/>
                <w:bCs w:val="false"/>
                <w:color w:val="333333"/>
                <w:sz w:val="18"/>
                <w:szCs w:val="18"/>
              </w:rPr>
              <w:t xml:space="preserve">·Soporte operativo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·Evaluar riesgos</w:t>
            </w:r>
          </w:p>
          <w:p>
            <w:pPr>
              <w:jc w:val="left"/>
            </w:pPr>
            <w:r>
              <w:rPr>
                <w:rFonts w:ascii="Calibri" w:cs="Calibri" w:eastAsia="Calibri" w:hAnsi="Calibri"/>
                <w:b w:val="false"/>
                <w:bCs w:val="false"/>
                <w:color w:val="333333"/>
                <w:sz w:val="18"/>
                <w:szCs w:val="18"/>
              </w:rPr>
              <w:t xml:space="preserve">·Validar controles</w:t>
            </w:r>
          </w:p>
          <w:p>
            <w:pPr>
              <w:jc w:val="left"/>
            </w:pPr>
            <w:r>
              <w:rPr>
                <w:rFonts w:ascii="Calibri" w:cs="Calibri" w:eastAsia="Calibri" w:hAnsi="Calibri"/>
                <w:b w:val="false"/>
                <w:bCs w:val="false"/>
                <w:color w:val="333333"/>
                <w:sz w:val="18"/>
                <w:szCs w:val="18"/>
              </w:rPr>
              <w:t xml:space="preserve">·Monitorear accesos</w:t>
            </w:r>
          </w:p>
          <w:p>
            <w:pPr>
              <w:jc w:val="left"/>
            </w:pPr>
            <w:r>
              <w:rPr>
                <w:rFonts w:ascii="Calibri" w:cs="Calibri" w:eastAsia="Calibri" w:hAnsi="Calibri"/>
                <w:b w:val="false"/>
                <w:bCs w:val="false"/>
                <w:color w:val="333333"/>
                <w:sz w:val="18"/>
                <w:szCs w:val="18"/>
              </w:rPr>
              <w:t xml:space="preserve">·Investigar incidentes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Área Solicitante</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·Justificar la contratación del proveedor.</w:t>
            </w:r>
          </w:p>
          <w:p>
            <w:pPr>
              <w:jc w:val="left"/>
            </w:pPr>
            <w:r>
              <w:rPr>
                <w:rFonts w:ascii="Calibri" w:cs="Calibri" w:eastAsia="Calibri" w:hAnsi="Calibri"/>
                <w:b w:val="false"/>
                <w:bCs w:val="false"/>
                <w:color w:val="333333"/>
                <w:sz w:val="18"/>
                <w:szCs w:val="18"/>
              </w:rPr>
              <w:t xml:space="preserve">·Supervisar el servicio</w:t>
            </w:r>
          </w:p>
          <w:p>
            <w:pPr>
              <w:jc w:val="left"/>
            </w:pPr>
            <w:r>
              <w:rPr>
                <w:rFonts w:ascii="Calibri" w:cs="Calibri" w:eastAsia="Calibri" w:hAnsi="Calibri"/>
                <w:b w:val="false"/>
                <w:bCs w:val="false"/>
                <w:color w:val="333333"/>
                <w:sz w:val="18"/>
                <w:szCs w:val="18"/>
              </w:rPr>
              <w:t xml:space="preserve">·Validar entregables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Proveedores o terceros autorizados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·Notificar incidentes</w:t>
            </w:r>
          </w:p>
          <w:p>
            <w:pPr>
              <w:jc w:val="left"/>
            </w:pPr>
            <w:r>
              <w:rPr>
                <w:rFonts w:ascii="Calibri" w:cs="Calibri" w:eastAsia="Calibri" w:hAnsi="Calibri"/>
                <w:b w:val="false"/>
                <w:bCs w:val="false"/>
                <w:color w:val="333333"/>
                <w:sz w:val="18"/>
                <w:szCs w:val="18"/>
              </w:rPr>
              <w:t xml:space="preserve">·Cumplir contractualmente.</w:t>
            </w:r>
          </w:p>
          <w:p>
            <w:pPr>
              <w:jc w:val="left"/>
            </w:pPr>
            <w:r>
              <w:rPr>
                <w:rFonts w:ascii="Calibri" w:cs="Calibri" w:eastAsia="Calibri" w:hAnsi="Calibri"/>
                <w:b w:val="false"/>
                <w:bCs w:val="false"/>
                <w:color w:val="333333"/>
                <w:sz w:val="18"/>
                <w:szCs w:val="18"/>
              </w:rPr>
              <w:t xml:space="preserve">·Dirigirse con probidad</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para_definir_las_condiciones_de_entrega_de_servicio_de_los_proveedores" w:id="1"/>
      <w:r>
        <w:t xml:space="preserve"/>
      </w:r>
      <w:bookmarkEnd w:id="1"/>
      <w:r>
        <w:rPr>
          <w:rFonts w:ascii="Calibri" w:cs="Calibri" w:eastAsia="Calibri" w:hAnsi="Calibri"/>
          <w:b/>
          <w:bCs/>
          <w:color w:val="000000"/>
          <w:sz w:val="28"/>
          <w:szCs w:val="28"/>
        </w:rPr>
        <w:t xml:space="preserve">7. LINEAMIENTOS PARA DEFINIR LAS CONDICIONES DE ENTREGA DE SERVICIO DE LOS PROVEEDORES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responsable de la solicitud de los servicios contratados, tendrá la obligación de supervisar el cumplimiento de lo pactado en contrato, que no solo se haya cumplido con el objeto de la relación, si no que se haya realizado con la diligencia que marcan las políticas y regulaciones establecidas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lograr demostrar este cumplimiento, deberá de recabar evidencia suficiente que pueda sustentar el hecho, algunos ejemplos del tipo de evidencia a presentar, tenemos: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Reportes de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Registros de monitoreo del proveedor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Registros de supervisiones realizadas al proveedor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Registros de auditorías realizadas al proveedor</w:t>
      </w:r>
    </w:p>
    <w:p>
      <w:pPr>
        <w:spacing w:after="120" w:before="0" w:line="276"/>
        <w:jc w:val="both"/>
      </w:pPr>
      <w:r>
        <w:rPr>
          <w:rFonts w:ascii="Calibri" w:cs="Calibri" w:eastAsia="Calibri" w:hAnsi="Calibri"/>
          <w:b w:val="false"/>
          <w:bCs w:val="false"/>
          <w:color w:val="333333"/>
          <w:sz w:val="20"/>
          <w:szCs w:val="20"/>
        </w:rPr>
        <w:t xml:space="preserve">Así mismo, al concluir el servicio o entrega del producto por parte del proveedor, este último, deberá de generar un acta de entrega/recepción, en la cual se formalice la recepción por parte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 entera satisfacción.</w:t>
      </w:r>
    </w:p>
    <w:p>
      <w:r>
        <w:t xml:space="preserve"> </w:t>
      </w:r>
    </w:p>
    <w:p>
      <w:pPr>
        <w:pStyle w:val="Heading1"/>
        <w:pBdr>
          <w:bottom w:val="single" w:color="D9D9D9" w:sz="4" w:space="8"/>
        </w:pBdr>
        <w:spacing w:after="200" w:before="400" w:line="240"/>
      </w:pPr>
      <w:bookmarkStart w:name="section_7_lineamientos_para_autorizar_el_acceso_a_la_informacion_de_contribuyentes_a_los_proveedores" w:id="1"/>
      <w:r>
        <w:t xml:space="preserve"/>
      </w:r>
      <w:bookmarkEnd w:id="1"/>
      <w:r>
        <w:rPr>
          <w:rFonts w:ascii="Calibri" w:cs="Calibri" w:eastAsia="Calibri" w:hAnsi="Calibri"/>
          <w:b/>
          <w:bCs/>
          <w:color w:val="000000"/>
          <w:sz w:val="28"/>
          <w:szCs w:val="28"/>
        </w:rPr>
        <w:t xml:space="preserve">8. LINEAMIENTOS PARA AUTORIZAR EL ACCESO A LA INFORMACIÓN DE CONTRIBUYENTES A LOS PROVEEDORES</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1. Condiciones previas obligatorias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Contrato y Confidencialidad: Ningún proveedor tendrá acceso a información de contribuyentes sin antes haber firmado un contrato de servicios que incluya cláusulas de confidencialidad y un acuerdo de confidencialidad (NDA) específico, tanto a nivel empresa como por parte del personal operativo del proveedor.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Análisis de Riesgo: El acceso solo se autorizará tras identificar los riesgos a los que se expone la información por la operación del tercero y definir los planes de remediación necesarios.</w:t>
      </w:r>
    </w:p>
    <w:p>
      <w:pPr>
        <w:pStyle w:val="Heading2"/>
        <w:spacing w:after="200" w:before="400" w:line="240"/>
        <w:jc w:val="left"/>
      </w:pPr>
      <w:r>
        <w:rPr>
          <w:rFonts w:ascii="Calibri" w:cs="Calibri" w:eastAsia="Calibri" w:hAnsi="Calibri"/>
          <w:b/>
          <w:bCs/>
          <w:color w:val="000000"/>
          <w:sz w:val="20"/>
          <w:szCs w:val="20"/>
        </w:rPr>
        <w:t xml:space="preserve">2. Protocolo de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Justificación de Acceso: El proveedor deberá solicitar el acceso por escrito, especificando la actividad a realizar, los sistemas involucrados y el periodo de tiempo requerido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Principio de Menor Privilegio: Se autorizará únicamente el nivel de acceso mínimo indispensable para cumplir con la tarea asignada.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Aprobación Formal: El acceso debe ser validado por el Responsable del Activo y autorizado formalmente por la Dirección de </w:t>
      </w:r>
      <w:r>
        <w:rPr>
          <w:rFonts w:ascii="Calibri" w:cs="Calibri" w:eastAsia="Calibri" w:hAnsi="Calibri"/>
          <w:b/>
          <w:bCs/>
          <w:color w:val="333333"/>
          <w:sz w:val="20"/>
          <w:szCs w:val="20"/>
        </w:rPr>
        <w:t xml:space="preserve">SENDERO FUEL</w:t>
      </w:r>
    </w:p>
    <w:p>
      <w:pPr>
        <w:pStyle w:val="Heading2"/>
        <w:spacing w:after="200" w:before="400" w:line="240"/>
        <w:jc w:val="left"/>
      </w:pPr>
      <w:r>
        <w:rPr>
          <w:rFonts w:ascii="Calibri" w:cs="Calibri" w:eastAsia="Calibri" w:hAnsi="Calibri"/>
          <w:b/>
          <w:bCs/>
          <w:color w:val="000000"/>
          <w:sz w:val="20"/>
          <w:szCs w:val="20"/>
        </w:rPr>
        <w:t xml:space="preserve">3. Controles de Acceso Técnico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única: Se asignarán cuentas de usuario individuales y trazables; queda estrictamente prohibido el uso de cuentas genéricas o compartidas.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Métodos Seguros: El acceso remoto se realizará exclusivamente mediante canales cifrados y autenticación de múltiples factores.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de Actividades: Todo acceso generará un registro (log) de solo lectura que contenga: identificador del usuario, descripción de la actividad, origen de la conexión y resultado de la operación.</w:t>
      </w:r>
    </w:p>
    <w:p>
      <w:pPr>
        <w:pStyle w:val="Heading2"/>
        <w:spacing w:after="200" w:before="400" w:line="240"/>
        <w:jc w:val="left"/>
      </w:pPr>
      <w:r>
        <w:rPr>
          <w:rFonts w:ascii="Calibri" w:cs="Calibri" w:eastAsia="Calibri" w:hAnsi="Calibri"/>
          <w:b/>
          <w:bCs/>
          <w:color w:val="000000"/>
          <w:sz w:val="20"/>
          <w:szCs w:val="20"/>
        </w:rPr>
        <w:t xml:space="preserve">4. Revocación y Revisión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Inhabilitación Inmediata: Los accesos serán revocados inmediatamente al término de la actividad autorizada o al finalizar la relación contractual con el proveedor.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Auditoría de Cuentas: Se realizará una revisión mensual de los privilegios otorgados a proveedores para asegurar que no existan cuentas activas sin justificación vigente.</w:t>
      </w:r>
    </w:p>
    <w:p>
      <w:r>
        <w:t xml:space="preserve"> </w:t>
      </w:r>
    </w:p>
    <w:p>
      <w:pPr>
        <w:pStyle w:val="Heading1"/>
        <w:pBdr>
          <w:bottom w:val="single" w:color="D9D9D9" w:sz="4" w:space="8"/>
        </w:pBdr>
        <w:spacing w:after="200" w:before="400" w:line="240"/>
      </w:pPr>
      <w:bookmarkStart w:name="section_8_controles_de_seguridad_para_los_servicios" w:id="1"/>
      <w:r>
        <w:t xml:space="preserve"/>
      </w:r>
      <w:bookmarkEnd w:id="1"/>
      <w:r>
        <w:rPr>
          <w:rFonts w:ascii="Calibri" w:cs="Calibri" w:eastAsia="Calibri" w:hAnsi="Calibri"/>
          <w:b/>
          <w:bCs/>
          <w:color w:val="000000"/>
          <w:sz w:val="28"/>
          <w:szCs w:val="28"/>
        </w:rPr>
        <w:t xml:space="preserve">9. CONTROLES DE SEGURIDAD PARA LOS SERVICIOS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garantizar que los servicios prestados por terceros mantengan los estándares de seguridad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se establecen los siguientes controles obligatorios:</w:t>
      </w:r>
    </w:p>
    <w:p>
      <w:pPr>
        <w:pStyle w:val="Heading2"/>
        <w:spacing w:after="200" w:before="400" w:line="240"/>
        <w:jc w:val="left"/>
      </w:pPr>
      <w:r>
        <w:rPr>
          <w:rFonts w:ascii="Calibri" w:cs="Calibri" w:eastAsia="Calibri" w:hAnsi="Calibri"/>
          <w:b/>
          <w:bCs/>
          <w:color w:val="000000"/>
          <w:sz w:val="20"/>
          <w:szCs w:val="20"/>
        </w:rPr>
        <w:t xml:space="preserve">1. Seguridad Operativa y del Entorno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Protección contra Código Malicioso: El proveedor debe implementar soluciones de detección, prevención y recuperación ante software malicioso en todos los activos que procesen información de los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Gestión de Vulnerabilidades: Es obligatorio que el proveedor realice análisis de vulnerabilidades y pruebas de penetración periódicas en los servicios críticos, entregando 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el plan de remediación correspondiente.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Sincronización de Relojes: Todos los sistemas del proveedor vinculados al servicio deben utilizar el protocolo NTP para asegurar la exactitud de los registros de auditoría.</w:t>
      </w:r>
    </w:p>
    <w:p>
      <w:pPr>
        <w:pStyle w:val="Heading2"/>
        <w:spacing w:after="200" w:before="400" w:line="240"/>
        <w:jc w:val="left"/>
      </w:pPr>
      <w:r>
        <w:rPr>
          <w:rFonts w:ascii="Calibri" w:cs="Calibri" w:eastAsia="Calibri" w:hAnsi="Calibri"/>
          <w:b/>
          <w:bCs/>
          <w:color w:val="000000"/>
          <w:sz w:val="20"/>
          <w:szCs w:val="20"/>
        </w:rPr>
        <w:t xml:space="preserve">2. Protección de la Información y Cifrado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Cifrado de Datos: Toda información de los contribuyentes en tránsito o en reposo bajo custodia del proveedor debe utilizar controles de cifrado robustos.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Gestión de Respaldos: El proveedor debe contar con una política de respaldos que incluya pruebas de recuperación anuales y resguardo de medios en ubicaciones físicas distintas al centro de datos principal.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Borrado Seguro: Al término del servicio, el proveedor debe ejecutar procedimientos de borrado seguro o destrucción física de los medios de almacenamiento que contuvieron información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Heading2"/>
        <w:spacing w:after="200" w:before="400" w:line="240"/>
        <w:jc w:val="left"/>
      </w:pPr>
      <w:r>
        <w:rPr>
          <w:rFonts w:ascii="Calibri" w:cs="Calibri" w:eastAsia="Calibri" w:hAnsi="Calibri"/>
          <w:b/>
          <w:bCs/>
          <w:color w:val="000000"/>
          <w:sz w:val="20"/>
          <w:szCs w:val="20"/>
        </w:rPr>
        <w:t xml:space="preserve">3. Control de Acceso y Trazabilidad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Registros de Actividad (Logs): El proveedor está obligado a generar registros de actividades de sus administradores y usuarios con privilegios. Estos registros deben ser de "solo lectura" para evitar alteraciones.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Autenticación Robusta: El acceso a los sistemas que soportan el servicio de monederos debe estar protegido por contraseñas complejas y mecanismos de bloqueo automático por inactividad.</w:t>
      </w:r>
    </w:p>
    <w:p>
      <w:r>
        <w:t xml:space="preserve"> </w:t>
      </w:r>
    </w:p>
    <w:p>
      <w:pPr>
        <w:pStyle w:val="Heading1"/>
        <w:pBdr>
          <w:bottom w:val="single" w:color="D9D9D9" w:sz="4" w:space="8"/>
        </w:pBdr>
        <w:spacing w:after="200" w:before="400" w:line="240"/>
      </w:pPr>
      <w:bookmarkStart w:name="section_9_inclusion_de_clausula_de_auditoria_para_contratacion_de_servicios_con_proveedores" w:id="1"/>
      <w:r>
        <w:t xml:space="preserve"/>
      </w:r>
      <w:bookmarkEnd w:id="1"/>
      <w:r>
        <w:rPr>
          <w:rFonts w:ascii="Calibri" w:cs="Calibri" w:eastAsia="Calibri" w:hAnsi="Calibri"/>
          <w:b/>
          <w:bCs/>
          <w:color w:val="000000"/>
          <w:sz w:val="28"/>
          <w:szCs w:val="28"/>
        </w:rPr>
        <w:t xml:space="preserve">10. INCLUSIÓN DE CLÁUSULA DE AUDITORÍA PARA CONTRATACIÓN DE SERVICIOS CON PROVEEDORES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Para asegurar el apego correcto a los estándares de seguridad de la información y gestión, impulsados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cualquier contrato establecido con cualquier proveedor, deberá contar con una cláíusula de auditoría, que nos permita: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Realizar al menos una auditoría anual, la cual será llevada a cabo por parte del </w:t>
      </w:r>
      <w:r>
        <w:rPr>
          <w:rFonts w:ascii="Calibri" w:cs="Calibri" w:eastAsia="Calibri" w:hAnsi="Calibri"/>
          <w:b/>
          <w:bCs/>
          <w:color w:val="333333"/>
          <w:sz w:val="20"/>
          <w:szCs w:val="20"/>
        </w:rPr>
        <w:t xml:space="preserve">Oficial de Seguridad</w:t>
      </w:r>
      <w:r>
        <w:rPr>
          <w:rFonts w:ascii="Calibri" w:cs="Calibri" w:eastAsia="Calibri" w:hAnsi="Calibri"/>
          <w:b w:val="false"/>
          <w:bCs w:val="false"/>
          <w:color w:val="333333"/>
          <w:sz w:val="20"/>
          <w:szCs w:val="20"/>
        </w:rPr>
        <w:t xml:space="preserve">, en donde se evaluarán las capacidades y cumplimientos de los acuerdos adquiridos con </w:t>
      </w:r>
      <w:r>
        <w:rPr>
          <w:rFonts w:ascii="Calibri" w:cs="Calibri" w:eastAsia="Calibri" w:hAnsi="Calibri"/>
          <w:b/>
          <w:bCs/>
          <w:color w:val="333333"/>
          <w:sz w:val="20"/>
          <w:szCs w:val="20"/>
        </w:rPr>
        <w:t xml:space="preserve">SENDERO FUEL.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a criterio del Oficial de Seguridad, el proveedor violó o generó acciones que ponen en riesgo la información interna o de nuestros clientes, así como poner en riesgo la continuidad de nuestros servicios, serán dados de baja inmediatamente y no se podrán acordar nuevos tratos o servicios.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hubiera servicios por concluir o productos por entregar, se tomarán las previsiones pertinentes para mitigar el riesgo lo mayormente posible.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 todos los proveedores se les enviariará una carta, indicando el resultado de la auditoría y las consecuencias de esta, si las hubiera.</w:t>
      </w:r>
    </w:p>
    <w:p>
      <w:r>
        <w:t xml:space="preserve"> </w:t>
      </w:r>
    </w:p>
    <w:p>
      <w:pPr>
        <w:pStyle w:val="Heading1"/>
        <w:pBdr>
          <w:bottom w:val="single" w:color="D9D9D9" w:sz="4" w:space="8"/>
        </w:pBdr>
        <w:spacing w:after="200" w:before="400" w:line="240"/>
      </w:pPr>
      <w:bookmarkStart w:name="section_10_lineamientos_para_realizar_cambios_en_las_condiciones_de_entrega_de_servicios" w:id="1"/>
      <w:r>
        <w:t xml:space="preserve"/>
      </w:r>
      <w:bookmarkEnd w:id="1"/>
      <w:r>
        <w:rPr>
          <w:rFonts w:ascii="Calibri" w:cs="Calibri" w:eastAsia="Calibri" w:hAnsi="Calibri"/>
          <w:b/>
          <w:bCs/>
          <w:color w:val="000000"/>
          <w:sz w:val="28"/>
          <w:szCs w:val="28"/>
        </w:rPr>
        <w:t xml:space="preserve">11. LINEAMIENTOS PARA REALIZAR CAMBIOS EN LAS CONDICIONES DE ENTREGA DE SERVICIOS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realizar cambios en las condiciones de entrega de los servicios, será necesario seguir los siguientes pasos</w:t>
      </w:r>
    </w:p>
    <w:p>
      <w:pPr>
        <w:pStyle w:val="Heading2"/>
        <w:spacing w:after="200" w:before="400" w:line="240"/>
        <w:jc w:val="left"/>
      </w:pPr>
      <w:r>
        <w:rPr>
          <w:rFonts w:ascii="Calibri" w:cs="Calibri" w:eastAsia="Calibri" w:hAnsi="Calibri"/>
          <w:b/>
          <w:bCs/>
          <w:color w:val="000000"/>
          <w:sz w:val="20"/>
          <w:szCs w:val="20"/>
        </w:rPr>
        <w:t xml:space="preserve">1. Realizar una clasificación precisa del tipo de cambio que se quiere realizar, siendo estos: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Administrativos: Modificaciones en los tiempos de respuesta, facturación o puntos de contacto.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Técnicos: Alteraciones en la infraestructura, protocolos de comunicación, métodos de cifrado o ubicación del procesamiento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Legales/Regulatorios: Ajustes derivados de actualizaciones en la legislación fiscal o de protección de datos.</w:t>
      </w:r>
    </w:p>
    <w:p>
      <w:pPr>
        <w:pStyle w:val="Heading2"/>
        <w:spacing w:after="200" w:before="400" w:line="240"/>
        <w:jc w:val="left"/>
      </w:pPr>
      <w:r>
        <w:rPr>
          <w:rFonts w:ascii="Calibri" w:cs="Calibri" w:eastAsia="Calibri" w:hAnsi="Calibri"/>
          <w:b/>
          <w:bCs/>
          <w:color w:val="000000"/>
          <w:sz w:val="20"/>
          <w:szCs w:val="20"/>
        </w:rPr>
        <w:t xml:space="preserve">2. Seguir el protocolo de notificación y solicitud, el cual consiste en: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propuesta de cambio debe ser notificada formalmente por escrito por la parte interesada (proveedor o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 una anticipación mínima definida en el contrato de servicios.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solicitud debe incluir una descripción detallada del cambio, la justificación técnica o de negocio y el impacto esperado en la operación del monedero electrónico.</w:t>
      </w:r>
    </w:p>
    <w:p>
      <w:pPr>
        <w:pStyle w:val="Heading2"/>
        <w:spacing w:after="200" w:before="400" w:line="240"/>
        <w:jc w:val="left"/>
      </w:pPr>
      <w:r>
        <w:rPr>
          <w:rFonts w:ascii="Calibri" w:cs="Calibri" w:eastAsia="Calibri" w:hAnsi="Calibri"/>
          <w:b/>
          <w:bCs/>
          <w:color w:val="000000"/>
          <w:sz w:val="20"/>
          <w:szCs w:val="20"/>
        </w:rPr>
        <w:t xml:space="preserve">3. Siempre se deberá realizar una evaluación de impacto y riesgo, del cambio propuesto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Antes de autorizar un cambio, se debe realizar un análisis para identificar si la modificación genera nuevas vulnerabilidades o riesgos para la información de los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 evaluar si el cambio afecta la confidencialidad, integridad o disponibilidad de los datos procesados por el proveedor.</w:t>
      </w:r>
    </w:p>
    <w:p>
      <w:pPr>
        <w:pStyle w:val="Heading2"/>
        <w:spacing w:after="200" w:before="400" w:line="240"/>
        <w:jc w:val="both"/>
      </w:pPr>
      <w:r>
        <w:rPr>
          <w:rFonts w:ascii="Calibri" w:cs="Calibri" w:eastAsia="Calibri" w:hAnsi="Calibri"/>
          <w:b/>
          <w:bCs/>
          <w:color w:val="000000"/>
          <w:sz w:val="20"/>
          <w:szCs w:val="20"/>
        </w:rPr>
        <w:t xml:space="preserve">4. Autorización y Registro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cambio en las condiciones de entrega debe ser aprobado formalmente por la Dirección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o el área responsable del contrato.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modificaciones aprobadas deberán documentarse mediante un anexo al contrato original o un formato de control de cambios firmado por ambas partes.</w:t>
      </w:r>
    </w:p>
    <w:p>
      <w:pPr>
        <w:pStyle w:val="Heading2"/>
        <w:spacing w:after="200" w:before="400" w:line="240"/>
        <w:jc w:val="left"/>
      </w:pPr>
      <w:r>
        <w:rPr>
          <w:rFonts w:ascii="Calibri" w:cs="Calibri" w:eastAsia="Calibri" w:hAnsi="Calibri"/>
          <w:b/>
          <w:bCs/>
          <w:color w:val="000000"/>
          <w:sz w:val="20"/>
          <w:szCs w:val="20"/>
        </w:rPr>
        <w:t xml:space="preserve">5. Pruebas y Validación (para Cambios Técnicos)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cambio afecta los sistemas de información, el proveedor debe realizar pruebas en ambientes de desarrollo y pruebas antes de pasar a producción.</w:t>
      </w:r>
    </w:p>
    <w:p>
      <w:pPr>
        <w:pStyle w:val="ListParagraph"/>
        <w:numPr>
          <w:ilvl w:val="0"/>
          <w:numId w:val="1"/>
        </w:numPr>
        <w:spacing w:line="276"/>
        <w:jc w:val="left"/>
      </w:pP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se reserva el derecho de solicitar la documentación de los resultados de dichas pruebas antes de la liberación final del cambio</w:t>
      </w:r>
    </w:p>
    <w:p>
      <w:r>
        <w:t xml:space="preserve"> </w:t>
      </w:r>
    </w:p>
    <w:p>
      <w:pPr>
        <w:pStyle w:val="Heading1"/>
        <w:pBdr>
          <w:bottom w:val="single" w:color="D9D9D9" w:sz="4" w:space="8"/>
        </w:pBdr>
        <w:spacing w:after="200" w:before="400" w:line="240"/>
      </w:pPr>
      <w:bookmarkStart w:name="section_11_penalizaciones_por_incumplimiento_de_lo_establecido_en_la_politica" w:id="1"/>
      <w:r>
        <w:t xml:space="preserve"/>
      </w:r>
      <w:bookmarkEnd w:id="1"/>
      <w:r>
        <w:rPr>
          <w:rFonts w:ascii="Calibri" w:cs="Calibri" w:eastAsia="Calibri" w:hAnsi="Calibri"/>
          <w:b/>
          <w:bCs/>
          <w:color w:val="000000"/>
          <w:sz w:val="28"/>
          <w:szCs w:val="28"/>
        </w:rPr>
        <w:t xml:space="preserve">12. PENALIZACIONES POR INCUMPLIMIENTO DE LO ESTABLECIDO EN LA POLÍTICA</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incumplimiento de cualquier disposición establecida en esta política por parte de los proveedores, sus empleados o subcontratistas, dará lugar a la aplicación de medidas correctivas y sanciones proporcionales a la gravedad de la falta.</w:t>
      </w:r>
    </w:p>
    <w:p>
      <w:pPr>
        <w:pStyle w:val="Heading2"/>
        <w:spacing w:after="200" w:before="400" w:line="240"/>
        <w:jc w:val="both"/>
      </w:pPr>
      <w:r>
        <w:rPr>
          <w:rFonts w:ascii="Calibri" w:cs="Calibri" w:eastAsia="Calibri" w:hAnsi="Calibri"/>
          <w:b/>
          <w:bCs/>
          <w:color w:val="000000"/>
          <w:sz w:val="20"/>
          <w:szCs w:val="20"/>
        </w:rPr>
        <w:t xml:space="preserve">Clasificación de Incumplimientos</w:t>
      </w:r>
    </w:p>
    <w:p>
      <w:pPr>
        <w:spacing w:after="120" w:before="0" w:line="276"/>
        <w:jc w:val="both"/>
      </w:pPr>
      <w:r>
        <w:rPr>
          <w:rFonts w:ascii="Calibri" w:cs="Calibri" w:eastAsia="Calibri" w:hAnsi="Calibri"/>
          <w:b w:val="false"/>
          <w:bCs w:val="false"/>
          <w:color w:val="333333"/>
          <w:sz w:val="20"/>
          <w:szCs w:val="20"/>
        </w:rPr>
        <w:t xml:space="preserve">Para efectos de la aplicación de sanciones, las faltas se categorizan de la siguiente manera:</w:t>
      </w:r>
    </w:p>
    <w:p>
      <w:pPr>
        <w:spacing w:after="120" w:before="0" w:line="276"/>
        <w:jc w:val="both"/>
      </w:pPr>
      <w:r>
        <w:rPr>
          <w:rFonts w:ascii="Calibri" w:cs="Calibri" w:eastAsia="Calibri" w:hAnsi="Calibri"/>
          <w:b w:val="false"/>
          <w:bCs w:val="false"/>
          <w:color w:val="333333"/>
          <w:sz w:val="20"/>
          <w:szCs w:val="20"/>
        </w:rPr>
        <w:t xml:space="preserve">Leves: Omisiones administrativas que no pongan en riesgo inmediato la confidencialidad, integridad o disponibilidad de la información (ej. retraso en la entrega de reportes de mantenimiento).</w:t>
      </w:r>
    </w:p>
    <w:p>
      <w:pPr>
        <w:spacing w:after="120" w:before="0" w:line="276"/>
        <w:jc w:val="both"/>
      </w:pPr>
      <w:r>
        <w:rPr>
          <w:rFonts w:ascii="Calibri" w:cs="Calibri" w:eastAsia="Calibri" w:hAnsi="Calibri"/>
          <w:b w:val="false"/>
          <w:bCs w:val="false"/>
          <w:color w:val="333333"/>
          <w:sz w:val="20"/>
          <w:szCs w:val="20"/>
        </w:rPr>
        <w:t xml:space="preserve">Graves: Violaciones a los controles técnicos o administrativos que comprometan la seguridad de la información de los contribuyentes sin llegar a una filtración masiva (ej. uso de cuentas compartidas o falta de cifrado en una transmisión).</w:t>
      </w:r>
    </w:p>
    <w:p>
      <w:pPr>
        <w:spacing w:after="120" w:before="0" w:line="276"/>
        <w:jc w:val="both"/>
      </w:pPr>
      <w:r>
        <w:rPr>
          <w:rFonts w:ascii="Calibri" w:cs="Calibri" w:eastAsia="Calibri" w:hAnsi="Calibri"/>
          <w:b w:val="false"/>
          <w:bCs w:val="false"/>
          <w:color w:val="333333"/>
          <w:sz w:val="20"/>
          <w:szCs w:val="20"/>
        </w:rPr>
        <w:t xml:space="preserve">Críticas: Acciones u omisiones que resulten en la pérdida, robo, alteración o acceso no autorizado a la información de los contribuyentes, o el desacato deliberado a una orden de seguridad de SENDERO FUEL.</w:t>
      </w:r>
    </w:p>
    <w:p>
      <w:pPr>
        <w:pStyle w:val="Heading2"/>
        <w:spacing w:after="200" w:before="400" w:line="240"/>
        <w:jc w:val="both"/>
      </w:pPr>
      <w:r>
        <w:rPr>
          <w:rFonts w:ascii="Calibri" w:cs="Calibri" w:eastAsia="Calibri" w:hAnsi="Calibri"/>
          <w:b/>
          <w:bCs/>
          <w:color w:val="000000"/>
          <w:sz w:val="20"/>
          <w:szCs w:val="20"/>
        </w:rPr>
        <w:t xml:space="preserve">Penalizaciones</w:t>
      </w:r>
    </w:p>
    <w:p>
      <w:pPr>
        <w:spacing w:after="120" w:before="0" w:line="276"/>
        <w:jc w:val="both"/>
      </w:pPr>
      <w:r>
        <w:rPr>
          <w:rFonts w:ascii="Calibri" w:cs="Calibri" w:eastAsia="Calibri" w:hAnsi="Calibri"/>
          <w:b w:val="false"/>
          <w:bCs w:val="false"/>
          <w:color w:val="333333"/>
          <w:sz w:val="20"/>
          <w:szCs w:val="20"/>
        </w:rPr>
        <w:t xml:space="preserve">Leve: Amonestación por escrito y requerimiento de un Plan de Acción Correctiva en un plazo no mayor a 5 días hábiles.</w:t>
      </w:r>
    </w:p>
    <w:p>
      <w:pPr>
        <w:spacing w:after="120" w:before="0" w:line="276"/>
        <w:jc w:val="both"/>
      </w:pPr>
      <w:r>
        <w:rPr>
          <w:rFonts w:ascii="Calibri" w:cs="Calibri" w:eastAsia="Calibri" w:hAnsi="Calibri"/>
          <w:b w:val="false"/>
          <w:bCs w:val="false"/>
          <w:color w:val="333333"/>
          <w:sz w:val="20"/>
          <w:szCs w:val="20"/>
        </w:rPr>
        <w:t xml:space="preserve">Grave: Suspensión temporal de los privilegios de acceso a los sistemas y aplicación de las penas convencionales económicas estipuladas en el contrato de servicios.</w:t>
      </w:r>
    </w:p>
    <w:p>
      <w:pPr>
        <w:spacing w:after="120" w:before="0" w:line="276"/>
        <w:jc w:val="both"/>
      </w:pPr>
      <w:r>
        <w:rPr>
          <w:rFonts w:ascii="Calibri" w:cs="Calibri" w:eastAsia="Calibri" w:hAnsi="Calibri"/>
          <w:b w:val="false"/>
          <w:bCs w:val="false"/>
          <w:color w:val="333333"/>
          <w:sz w:val="20"/>
          <w:szCs w:val="20"/>
        </w:rPr>
        <w:t xml:space="preserve">Crítica: Rescisión inmediata del contrato sin responsabilidad para SENDERO FUEL, inhabilitación permanente del proveedor y, en su caso, ejercicio de acciones legales civiles o penales correspondientes.</w:t>
      </w:r>
    </w:p>
    <w:p>
      <w:pPr>
        <w:pStyle w:val="Heading2"/>
        <w:spacing w:after="200" w:before="400" w:line="240"/>
        <w:jc w:val="both"/>
      </w:pPr>
      <w:r>
        <w:rPr>
          <w:rFonts w:ascii="Calibri" w:cs="Calibri" w:eastAsia="Calibri" w:hAnsi="Calibri"/>
          <w:b/>
          <w:bCs/>
          <w:color w:val="000000"/>
          <w:sz w:val="20"/>
          <w:szCs w:val="20"/>
        </w:rPr>
        <w:t xml:space="preserve">Proceso de Aplicación</w:t>
      </w:r>
    </w:p>
    <w:p>
      <w:pPr>
        <w:spacing w:after="120" w:before="0" w:line="276"/>
        <w:jc w:val="both"/>
      </w:pPr>
      <w:r>
        <w:rPr>
          <w:rFonts w:ascii="Calibri" w:cs="Calibri" w:eastAsia="Calibri" w:hAnsi="Calibri"/>
          <w:b w:val="false"/>
          <w:bCs w:val="false"/>
          <w:color w:val="333333"/>
          <w:sz w:val="20"/>
          <w:szCs w:val="20"/>
        </w:rPr>
        <w:t xml:space="preserve">Detección: El incumplimiento puede ser detectado mediante monitoreo, auditorías o reportes de incidentes.</w:t>
      </w:r>
    </w:p>
    <w:p>
      <w:pPr>
        <w:spacing w:after="120" w:before="0" w:line="276"/>
        <w:jc w:val="both"/>
      </w:pPr>
      <w:r>
        <w:rPr>
          <w:rFonts w:ascii="Calibri" w:cs="Calibri" w:eastAsia="Calibri" w:hAnsi="Calibri"/>
          <w:b w:val="false"/>
          <w:bCs w:val="false"/>
          <w:color w:val="333333"/>
          <w:sz w:val="20"/>
          <w:szCs w:val="20"/>
        </w:rPr>
        <w:t xml:space="preserve">Notificación: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notificará formalmente al proveedor sobre la falta detectada.</w:t>
      </w:r>
    </w:p>
    <w:p>
      <w:pPr>
        <w:spacing w:after="120" w:before="0" w:line="276"/>
        <w:jc w:val="both"/>
      </w:pPr>
      <w:r>
        <w:rPr>
          <w:rFonts w:ascii="Calibri" w:cs="Calibri" w:eastAsia="Calibri" w:hAnsi="Calibri"/>
          <w:b w:val="false"/>
          <w:bCs w:val="false"/>
          <w:color w:val="333333"/>
          <w:sz w:val="20"/>
          <w:szCs w:val="20"/>
        </w:rPr>
        <w:t xml:space="preserve">Investigación: Se otorgará un periodo de 48 horas al proveedor para presentar pruebas o justificaciones antes de la determinación final de la sanción.</w:t>
      </w:r>
    </w:p>
    <w:p>
      <w:pPr>
        <w:spacing w:after="120" w:before="0" w:line="276"/>
        <w:jc w:val="both"/>
      </w:pPr>
      <w:r>
        <w:rPr>
          <w:rFonts w:ascii="Calibri" w:cs="Calibri" w:eastAsia="Calibri" w:hAnsi="Calibri"/>
          <w:b w:val="false"/>
          <w:bCs w:val="false"/>
          <w:color w:val="333333"/>
          <w:sz w:val="20"/>
          <w:szCs w:val="20"/>
        </w:rPr>
        <w:t xml:space="preserve">Ejecución: La Dirección de la empresa ratificará y ejecutará la sanción conforme a lo estipulado en el contrato y esta política.</w:t>
      </w:r>
    </w:p>
    <w:p>
      <w:r>
        <w:t xml:space="preserve"> </w:t>
      </w:r>
    </w:p>
    <w:p>
      <w:pPr>
        <w:pStyle w:val="Heading1"/>
        <w:pBdr>
          <w:bottom w:val="single" w:color="D9D9D9" w:sz="4" w:space="8"/>
        </w:pBdr>
        <w:spacing w:after="200" w:before="400" w:line="240"/>
      </w:pPr>
      <w:bookmarkStart w:name="section_12_lineamientos_de_atencion_a_situaciones_fortuitas" w:id="1"/>
      <w:r>
        <w:t xml:space="preserve"/>
      </w:r>
      <w:bookmarkEnd w:id="1"/>
      <w:r>
        <w:rPr>
          <w:rFonts w:ascii="Calibri" w:cs="Calibri" w:eastAsia="Calibri" w:hAnsi="Calibri"/>
          <w:b/>
          <w:bCs/>
          <w:color w:val="000000"/>
          <w:sz w:val="28"/>
          <w:szCs w:val="28"/>
        </w:rPr>
        <w:t xml:space="preserve">13. LINEAMIENTOS DE ATENCIÓN A SITUACIONES FORTUITAS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efectos de esta política, se consideran situaciones fortuitas aquellos eventos imprevisibles o inevitables, tales como fenómenos meteorológicos extremos, incendios, terremotos, disturbios sociales masivos o fallas críticas en la infraestructura nacional de telecomunicaciones que impidan al proveedor cumplir con los niveles de servicio pactados.</w:t>
      </w:r>
    </w:p>
    <w:p>
      <w:pPr>
        <w:pStyle w:val="Heading2"/>
        <w:spacing w:after="200" w:before="400" w:line="240"/>
        <w:jc w:val="left"/>
      </w:pPr>
      <w:r>
        <w:rPr>
          <w:rFonts w:ascii="Calibri" w:cs="Calibri" w:eastAsia="Calibri" w:hAnsi="Calibri"/>
          <w:b/>
          <w:bCs/>
          <w:color w:val="000000"/>
          <w:sz w:val="20"/>
          <w:szCs w:val="20"/>
        </w:rPr>
        <w:t xml:space="preserve">1. Protocolo de Notificación Inmediata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Plazo de Aviso: Ante la ocurrencia de una situación fortuita, el proveedor debe notificar 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en un plazo no mayor a 2 horas tras la detección del evento.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Canales Oficiales: La comunicación debe realizarse a travús de los contactos de emergencia definidos en la tabla de escalamiento, incluyendo una descripción preliminar del impacto y el tiempo estimado de afectación.</w:t>
      </w:r>
    </w:p>
    <w:p>
      <w:pPr>
        <w:pStyle w:val="Heading2"/>
        <w:spacing w:after="200" w:before="400" w:line="240"/>
        <w:jc w:val="left"/>
      </w:pPr>
      <w:r>
        <w:rPr>
          <w:rFonts w:ascii="Calibri" w:cs="Calibri" w:eastAsia="Calibri" w:hAnsi="Calibri"/>
          <w:b/>
          <w:bCs/>
          <w:color w:val="000000"/>
          <w:sz w:val="20"/>
          <w:szCs w:val="20"/>
        </w:rPr>
        <w:t xml:space="preserve">2. Activación de planes de continuidad y recuperación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proveedor está obligado a activar de inmediato sus Planes de Continuidad de Negocio (BCP) y Recuperación de Desastres (DRP) para asegurar que la información de los contribuyentes no se pierda ni se vea comprometida durante la contingencia.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 dar prioridad a la restauración de los servicios de autorización y liquidación de transacciones de combustible para minimizar la afectación a los usuarios finales.</w:t>
      </w:r>
    </w:p>
    <w:p>
      <w:pPr>
        <w:pStyle w:val="Heading2"/>
        <w:spacing w:after="200" w:before="400" w:line="240"/>
        <w:jc w:val="left"/>
      </w:pPr>
      <w:r>
        <w:rPr>
          <w:rFonts w:ascii="Calibri" w:cs="Calibri" w:eastAsia="Calibri" w:hAnsi="Calibri"/>
          <w:b/>
          <w:bCs/>
          <w:color w:val="000000"/>
          <w:sz w:val="20"/>
          <w:szCs w:val="20"/>
        </w:rPr>
        <w:t xml:space="preserve">3. Salvaguarda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Incluso en situaciones de emergencia, el proveedor debe garantizar que los controles de cifrado y acceso a la información de los contribuyentes permanezcan activos.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la situación fortuita implica el traslado físico de medios de almacenamiento o servidores, el proveedor debe mantener un registro estricto de la ubicación y responsables de dichos activos.</w:t>
      </w:r>
    </w:p>
    <w:p>
      <w:pPr>
        <w:pStyle w:val="Heading2"/>
        <w:spacing w:after="200" w:before="400" w:line="240"/>
        <w:jc w:val="left"/>
      </w:pPr>
      <w:r>
        <w:rPr>
          <w:rFonts w:ascii="Calibri" w:cs="Calibri" w:eastAsia="Calibri" w:hAnsi="Calibri"/>
          <w:b/>
          <w:bCs/>
          <w:color w:val="000000"/>
          <w:sz w:val="20"/>
          <w:szCs w:val="20"/>
        </w:rPr>
        <w:t xml:space="preserve">4.Informe de Post-Incidente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Una vez normalizado el servicio, el proveedor entregará 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un informe detallado en un plazo máíximo de 72 horas.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Este informe debe incluir: cronología del evento, acciones de remediación aplicadas, confirmación de la integridad de los datos y medidas preventivas para evitar recurrencias en escenarios similares.</w:t>
      </w:r>
    </w:p>
    <w:p>
      <w:r>
        <w:t xml:space="preserve"> </w:t>
      </w:r>
    </w:p>
    <w:p>
      <w:pPr>
        <w:pStyle w:val="Heading1"/>
        <w:pBdr>
          <w:bottom w:val="single" w:color="D9D9D9" w:sz="4" w:space="8"/>
        </w:pBdr>
        <w:spacing w:after="200" w:before="400" w:line="240"/>
      </w:pPr>
      <w:bookmarkStart w:name="section_13_periodicidad_de_revision_de_la_politica" w:id="1"/>
      <w:r>
        <w:t xml:space="preserve"/>
      </w:r>
      <w:bookmarkEnd w:id="1"/>
      <w:r>
        <w:rPr>
          <w:rFonts w:ascii="Calibri" w:cs="Calibri" w:eastAsia="Calibri" w:hAnsi="Calibri"/>
          <w:b/>
          <w:bCs/>
          <w:color w:val="000000"/>
          <w:sz w:val="28"/>
          <w:szCs w:val="28"/>
        </w:rPr>
        <w:t xml:space="preserve">14. PERIODICIDAD DE REVISIÓN DE LA POLÍTICA</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1. Revisión Ordinaria</w:t>
      </w:r>
    </w:p>
    <w:p>
      <w:pPr>
        <w:spacing w:after="120" w:before="0" w:line="276"/>
        <w:jc w:val="both"/>
      </w:pPr>
      <w:r>
        <w:rPr>
          <w:rFonts w:ascii="Calibri" w:cs="Calibri" w:eastAsia="Calibri" w:hAnsi="Calibri"/>
          <w:b w:val="false"/>
          <w:bCs w:val="false"/>
          <w:color w:val="333333"/>
          <w:sz w:val="20"/>
          <w:szCs w:val="20"/>
        </w:rPr>
        <w:t xml:space="preserve">La presente será revisada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 Esta revisión semestral coincidirá preferentemente con el estudio de capacidad tecnológica y de personal de la empresa.</w:t>
      </w:r>
    </w:p>
    <w:p>
      <w:pPr>
        <w:pStyle w:val="Heading2"/>
        <w:spacing w:after="200" w:before="400" w:line="240"/>
        <w:jc w:val="left"/>
      </w:pPr>
      <w:r>
        <w:rPr>
          <w:rFonts w:ascii="Calibri" w:cs="Calibri" w:eastAsia="Calibri" w:hAnsi="Calibri"/>
          <w:b/>
          <w:bCs/>
          <w:color w:val="000000"/>
          <w:sz w:val="20"/>
          <w:szCs w:val="20"/>
        </w:rPr>
        <w:t xml:space="preserve">2. 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esta política cuando se presente cualquiera de los siguientes supuestos: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pStyle w:val="Heading2"/>
        <w:spacing w:after="200" w:before="400" w:line="240"/>
        <w:jc w:val="left"/>
      </w:pPr>
      <w:r>
        <w:rPr>
          <w:rFonts w:ascii="Calibri" w:cs="Calibri" w:eastAsia="Calibri" w:hAnsi="Calibri"/>
          <w:b/>
          <w:bCs/>
          <w:color w:val="000000"/>
          <w:sz w:val="20"/>
          <w:szCs w:val="20"/>
        </w:rPr>
        <w:t xml:space="preserve">3. 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pPr>
        <w:pStyle w:val="Heading1"/>
        <w:pBdr>
          <w:bottom w:val="single" w:color="D9D9D9" w:sz="4" w:space="8"/>
        </w:pBdr>
        <w:spacing w:after="200" w:before="400" w:line="240"/>
      </w:pPr>
      <w:bookmarkStart w:name="section_14_lineamientos_para_definir_alcance_y_objetivo_de_los_acuerdos_con_proveedores" w:id="1"/>
      <w:r>
        <w:t xml:space="preserve"/>
      </w:r>
      <w:bookmarkEnd w:id="1"/>
      <w:r>
        <w:rPr>
          <w:rFonts w:ascii="Calibri" w:cs="Calibri" w:eastAsia="Calibri" w:hAnsi="Calibri"/>
          <w:b/>
          <w:bCs/>
          <w:color w:val="000000"/>
          <w:sz w:val="28"/>
          <w:szCs w:val="28"/>
        </w:rPr>
        <w:t xml:space="preserve">15. LINEAMIENTOS PARA DEFINIR ALCANCE Y OBJETIVO DE LOS ACUERDOS CON PROVEEDORES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Durante la contratación de un servicio provisto por un tercero, se deberá contar con </w:t>
      </w:r>
      <w:r>
        <w:rPr>
          <w:rFonts w:ascii="Calibri" w:cs="Calibri" w:eastAsia="Calibri" w:hAnsi="Calibri"/>
          <w:b/>
          <w:bCs/>
          <w:color w:val="333333"/>
          <w:sz w:val="20"/>
          <w:szCs w:val="20"/>
        </w:rPr>
        <w:t xml:space="preserve">un contrato, </w:t>
      </w:r>
      <w:r>
        <w:rPr>
          <w:rFonts w:ascii="Calibri" w:cs="Calibri" w:eastAsia="Calibri" w:hAnsi="Calibri"/>
          <w:b w:val="false"/>
          <w:bCs w:val="false"/>
          <w:color w:val="333333"/>
          <w:sz w:val="20"/>
          <w:szCs w:val="20"/>
        </w:rPr>
        <w:t xml:space="preserve">en el cual quedará establecido de manera formal, la responsabilidad del proveedor sobre toda información que se le proporciono con relación a </w:t>
      </w:r>
      <w:r>
        <w:rPr>
          <w:rFonts w:ascii="Calibri" w:cs="Calibri" w:eastAsia="Calibri" w:hAnsi="Calibri"/>
          <w:b/>
          <w:bCs/>
          <w:color w:val="333333"/>
          <w:sz w:val="20"/>
          <w:szCs w:val="20"/>
        </w:rPr>
        <w:t xml:space="preserve">SENDERO FUEL, y su operación</w:t>
      </w:r>
      <w:r>
        <w:rPr>
          <w:rFonts w:ascii="Calibri" w:cs="Calibri" w:eastAsia="Calibri" w:hAnsi="Calibri"/>
          <w:b w:val="false"/>
          <w:bCs w:val="false"/>
          <w:color w:val="333333"/>
          <w:sz w:val="20"/>
          <w:szCs w:val="20"/>
        </w:rPr>
        <w:t xml:space="preserve">, así como de los activos tangibles e intangibles, mismos que serán únicamente los estrictamente indispensables para la prestación del servicio. Dicho contrato debe contemplar los siguientes puntos, con el </w:t>
      </w:r>
      <w:r>
        <w:rPr>
          <w:rFonts w:ascii="Calibri" w:cs="Calibri" w:eastAsia="Calibri" w:hAnsi="Calibri"/>
          <w:b/>
          <w:bCs/>
          <w:color w:val="333333"/>
          <w:sz w:val="20"/>
          <w:szCs w:val="20"/>
        </w:rPr>
        <w:t xml:space="preserve">objetivo</w:t>
      </w:r>
      <w:r>
        <w:rPr>
          <w:rFonts w:ascii="Calibri" w:cs="Calibri" w:eastAsia="Calibri" w:hAnsi="Calibri"/>
          <w:b w:val="false"/>
          <w:bCs w:val="false"/>
          <w:color w:val="333333"/>
          <w:sz w:val="20"/>
          <w:szCs w:val="20"/>
        </w:rPr>
        <w:t xml:space="preserve"> de establecer claramente el marco normativo por el cual se establece la relación comercial.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responsabilidades del tercero se podrán incluir en el contrato de prestación de servicio o se podrán agregar como anexo de este.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proveedor de servicios debe contar con un acuerdo de confidencialidad firmado previo al inicio de la prestación de servicios (el acuerdo de confidencialidad puede estar definido dentro del clausulado del contrato).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contratos de prestación de servicios deberán ser revisados en conjunto con el departamento legal para asegurar que cumpla con todos los requisitos legales, regulatorios y de la Organización.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contratos, deben tener cláusulas de restricción para el copiado y acceso a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proveedores deben cubrir los requerimientos para control de accesos y procedimientos de autorización para acceder a los activos de información de la empresa.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proveedores que ingresen dispositivos de computo o móviles, propios a las instalaciones de la empresa, deberán de contar con mecanismos para asegurar la protección de virus y código malicioso.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Deben de quedar claras la existencia de penalizaciones por incumplimiento a las políticas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servicios provistos por terceros podrán ser sujetos a auditoría por parte de un tercero contratado por la empresa o por parte del personal asignado de forma directa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Esto se deberá ser acordado durante la contratación del servicio y dejar formalmente estipulado dentro del contrato o en un anexo de este.</w:t>
      </w:r>
    </w:p>
    <w:p>
      <w:r>
        <w:t xml:space="preserve"> </w:t>
      </w:r>
    </w:p>
    <w:p>
      <w:r>
        <w:br w:type="page"/>
      </w:r>
    </w:p>
    <w:p>
      <w:pPr>
        <w:pStyle w:val="Heading1"/>
        <w:pBdr>
          <w:bottom w:val="single" w:color="D9D9D9" w:sz="4" w:space="8"/>
        </w:pBdr>
        <w:spacing w:after="200" w:before="400" w:line="240"/>
      </w:pPr>
      <w:bookmarkStart w:name="section_15_glosario" w:id="1"/>
      <w:r>
        <w:rPr>
          <w:rFonts w:ascii="Calibri" w:cs="Calibri" w:eastAsia="Calibri" w:hAnsi="Calibri"/>
          <w:b/>
          <w:bCs/>
          <w:color w:val="000000"/>
          <w:sz w:val="28"/>
          <w:szCs w:val="28"/>
        </w:rPr>
        <w:t xml:space="preserve">16.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relaciones entre la persona moral y sus proveedores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31/3/2026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5</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relaciones entre la persona moral y sus proveedores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31/3/2026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5</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relaciones entre la persona moral y sus proveedores</dc:title>
  <dc:subject>Poltica</dc:subject>
  <dc:creator>Administrador MAPLINKS</dc:creator>
  <cp:keywords>PO-SF-002</cp:keywords>
  <dc:description>Documento PO-SF-002</dc:description>
  <cp:lastModifiedBy>Administrador MAPLINKS</cp:lastModifiedBy>
  <cp:revision>5</cp:revision>
  <dcterms:created xsi:type="dcterms:W3CDTF">2026-09-30T21:33:48.917Z</dcterms:created>
  <dcterms:modified xsi:type="dcterms:W3CDTF">2026-09-30T21:33:48.917Z</dcterms:modified>
</cp:coreProperties>
</file>

<file path=docProps/custom.xml><?xml version="1.0" encoding="utf-8"?>
<Properties xmlns="http://schemas.openxmlformats.org/officeDocument/2006/custom-properties" xmlns:vt="http://schemas.openxmlformats.org/officeDocument/2006/docPropsVTypes"/>
</file>