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15/5/2026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15/5/2026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Mary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contar con una Política de Desarrollo Seguro significa establecer reglas obligatorias para que los sistemas, aplicativos, servicios, integraciones, bases de datos, APIs, componentes y cambios tecnológicos relacionados con la operación del </w:t>
      </w:r>
      <w:r>
        <w:rPr>
          <w:rFonts w:ascii="Calibri" w:cs="Calibri" w:eastAsia="Calibri" w:hAnsi="Calibri"/>
          <w:b/>
          <w:bCs/>
          <w:color w:val="333333"/>
          <w:sz w:val="20"/>
          <w:szCs w:val="20"/>
        </w:rPr>
        <w:t xml:space="preserve">monedero electrónico </w:t>
      </w:r>
      <w:r>
        <w:rPr>
          <w:rFonts w:ascii="Calibri" w:cs="Calibri" w:eastAsia="Calibri" w:hAnsi="Calibri"/>
          <w:b w:val="false"/>
          <w:bCs w:val="false"/>
          <w:color w:val="333333"/>
          <w:sz w:val="20"/>
          <w:szCs w:val="20"/>
        </w:rPr>
        <w:t xml:space="preserve">sean diseñados, construidos, probados, aceptados y mantenidos bajo controles de seguridad desde su planeación hasta su retiro.</w:t>
      </w:r>
    </w:p>
    <w:p>
      <w:pPr>
        <w:spacing w:after="120" w:before="0" w:line="252"/>
        <w:jc w:val="both"/>
      </w:pPr>
      <w:r>
        <w:rPr>
          <w:rFonts w:ascii="Calibri" w:cs="Calibri" w:eastAsia="Calibri" w:hAnsi="Calibri"/>
          <w:b w:val="false"/>
          <w:bCs w:val="false"/>
          <w:color w:val="333333"/>
          <w:sz w:val="20"/>
          <w:szCs w:val="20"/>
        </w:rPr>
        <w:t xml:space="preserve">El desarrollo seguro permite reducir vulnerabilidades, proteger la información de contribuyentes, clientes, beneficiarios, estaciones de servicio, empleados y proveedores, y asegurar que cada desarrollo cuente con evidencia verificable de requisitos de seguridad, pruebas, aceptación, propiedad intelectual, restricciones de cambios y control del entorno de desarrollo.</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Establecer los lineamientos obligatorios para que los desarrollos internos y contratados con terceros se realicen bajo un ciclo de vida seguro, documentado y trazable, incorporando controles técnicos, administrativos y legales que permitan proteger la información y los sistemas relacionados con la operación del monedero electrónico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Esta política aplica a empleados, directivos, administradores, desarrolladores, personal de soporte, proveedores, terceros autorizados y cualquier persona que participe en actividades de análisis, diseño, programación, integración, pruebas, aceptación, despliegue, mantenimiento o retiro de sistemas, aplicativos, bases de datos, APIs, reportes, scripts, interfaces o componentes relacionados directa o indirectamente con el monedero electrónico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FO-SF-096 — FO-SF-0096_Matriz_de_requisitos_de_desarrollo_seguro_y_marco_de_referencia.docx</w:t>
      </w:r>
    </w:p>
    <w:p>
      <w:pPr>
        <w:spacing w:after="60" w:before="60" w:line="276"/>
      </w:pPr>
      <w:r>
        <w:rPr>
          <w:rFonts w:ascii="Calibri" w:cs="Calibri" w:eastAsia="Calibri" w:hAnsi="Calibri"/>
          <w:b w:val="false"/>
          <w:bCs w:val="false"/>
          <w:color w:val="333333"/>
          <w:sz w:val="20"/>
          <w:szCs w:val="20"/>
        </w:rPr>
        <w:t xml:space="preserve">• FO-SF-097 — FO-SF-0097_Checklist_de_desarrollo_seguro_interno_y_de_proveedores.docx</w:t>
      </w:r>
    </w:p>
    <w:p>
      <w:pPr>
        <w:spacing w:after="60" w:before="60" w:line="276"/>
      </w:pPr>
      <w:r>
        <w:rPr>
          <w:rFonts w:ascii="Calibri" w:cs="Calibri" w:eastAsia="Calibri" w:hAnsi="Calibri"/>
          <w:b w:val="false"/>
          <w:bCs w:val="false"/>
          <w:color w:val="333333"/>
          <w:sz w:val="20"/>
          <w:szCs w:val="20"/>
        </w:rPr>
        <w:t xml:space="preserve">• FO-SF-098 — FO-SF-0098_Acta_de_aceptacion_de_desarrollo_seguro.docx</w:t>
      </w:r>
    </w:p>
    <w:p>
      <w:pPr>
        <w:spacing w:after="60" w:before="60" w:line="276"/>
      </w:pPr>
      <w:r>
        <w:rPr>
          <w:rFonts w:ascii="Calibri" w:cs="Calibri" w:eastAsia="Calibri" w:hAnsi="Calibri"/>
          <w:b w:val="false"/>
          <w:bCs w:val="false"/>
          <w:color w:val="333333"/>
          <w:sz w:val="20"/>
          <w:szCs w:val="20"/>
        </w:rPr>
        <w:t xml:space="preserve">• FO-SF-099 — FO-SF-0099_Registro_de_propiedad_intelectual_y_entregables_de_desarrollo_contratado.docx</w:t>
      </w:r>
    </w:p>
    <w:p>
      <w:pPr>
        <w:spacing w:after="60" w:before="60" w:line="276"/>
      </w:pPr>
      <w:r>
        <w:rPr>
          <w:rFonts w:ascii="Calibri" w:cs="Calibri" w:eastAsia="Calibri" w:hAnsi="Calibri"/>
          <w:b w:val="false"/>
          <w:bCs w:val="false"/>
          <w:color w:val="333333"/>
          <w:sz w:val="20"/>
          <w:szCs w:val="20"/>
        </w:rPr>
        <w:t xml:space="preserve">• FO-SF-100 — FO-SF-0100_Solicitud_y_autorizacion_de_cambio_o_excepcion_en_software_de_proposito_general.docx</w:t>
      </w:r>
    </w:p>
    <w:p>
      <w:pPr>
        <w:spacing w:after="60" w:before="60" w:line="276"/>
      </w:pPr>
      <w:r>
        <w:rPr>
          <w:rFonts w:ascii="Calibri" w:cs="Calibri" w:eastAsia="Calibri" w:hAnsi="Calibri"/>
          <w:b w:val="false"/>
          <w:bCs w:val="false"/>
          <w:color w:val="333333"/>
          <w:sz w:val="20"/>
          <w:szCs w:val="20"/>
        </w:rPr>
        <w:t xml:space="preserve">• FO-SF-101 — FO-SF-0101_Registro_de_entorno_seguro_para_desarrollo.docx</w:t>
      </w:r>
    </w:p>
    <w:p>
      <w:pPr>
        <w:spacing w:after="60" w:before="60" w:line="276"/>
      </w:pPr>
      <w:r>
        <w:rPr>
          <w:rFonts w:ascii="Calibri" w:cs="Calibri" w:eastAsia="Calibri" w:hAnsi="Calibri"/>
          <w:b w:val="false"/>
          <w:bCs w:val="false"/>
          <w:color w:val="333333"/>
          <w:sz w:val="20"/>
          <w:szCs w:val="20"/>
        </w:rPr>
        <w:t xml:space="preserve">• FO-SF-102 — FO-SF-0102_Registro_de_situacion_fortuita_relacionada_con_desarrollo_seguro.docx</w:t>
      </w:r>
    </w:p>
    <w:p>
      <w:pPr>
        <w:spacing w:after="60" w:before="60" w:line="276"/>
      </w:pPr>
      <w:r>
        <w:rPr>
          <w:rFonts w:ascii="Calibri" w:cs="Calibri" w:eastAsia="Calibri" w:hAnsi="Calibri"/>
          <w:b w:val="false"/>
          <w:bCs w:val="false"/>
          <w:color w:val="333333"/>
          <w:sz w:val="20"/>
          <w:szCs w:val="20"/>
        </w:rPr>
        <w:t xml:space="preserve">• req_53_PO_SF_013.pdf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shd w:fill="ddeaf7"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shd w:fill="ddeaf7"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Responsabilidades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Dirección General / Representante Legal</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Aprobar la política, autorizar excepciones críticas, firmar documentación requerida para verificación tecnológica y asegurar recursos para desarrollo seguro.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Responsable de Seguridad de la Información</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Definir controles, revisar evidencias, validar excepciones, evaluar riesgos, autorizar criterios de seguridad y dar seguimiento a vulnerabilidades.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Responsable de TI / Infraestructura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Asegurar ambientes segregados, repositorios, accesos, herramientas de desarrollo, respaldos, bitácoras y controles técnicos.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Líder de Desarrollo / DevOps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Aplicar prácticas de desarrollo seguro, controlar versiones, revisar código, coordinar pruebas, documentar evidencias y preparar entregables.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Desarrolladores internos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Cumplir estándares de codificación segura, proteger secretos, documentar cambios, atender hallazgos y mantener trazabilidad.</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Área solicitante / Dueño del proceso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Definir requerimientos funcionales y criterios de aceptación, validar pruebas de usuario y aceptar formalmente el desarrollo.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Proveedores de desarrollo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Cumplir lineamientos de </w:t>
            </w:r>
            <w:r>
              <w:rPr>
                <w:rFonts w:ascii="Calibri" w:cs="Calibri" w:eastAsia="Calibri" w:hAnsi="Calibri"/>
                <w:b/>
                <w:bCs/>
                <w:color w:val="333333"/>
                <w:sz w:val="18"/>
                <w:szCs w:val="18"/>
              </w:rPr>
              <w:t xml:space="preserve">SENDERO FUEL</w:t>
            </w:r>
            <w:r>
              <w:rPr>
                <w:rFonts w:ascii="Calibri" w:cs="Calibri" w:eastAsia="Calibri" w:hAnsi="Calibri"/>
                <w:b w:val="false"/>
                <w:bCs w:val="false"/>
                <w:color w:val="333333"/>
                <w:sz w:val="18"/>
                <w:szCs w:val="18"/>
              </w:rPr>
              <w:t xml:space="preserve">, entregar código, documentación, evidencias, licencias y aceptar revisiones o auditorías.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Jurídico / Administración de contratos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Validar cláusulas de propiedad intelectual, confidencialidad, licencias, soporte, garantías y penalizaciones contractuales.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Usuarios autorizados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Participar en pruebas de aceptación, reportar incidencias y usar los sistemas conforme a lineamientos internos.</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marco_de_refrencia_de_desarrollo_seguro" w:id="1"/>
      <w:r>
        <w:t xml:space="preserve"/>
      </w:r>
      <w:bookmarkEnd w:id="1"/>
      <w:r>
        <w:rPr>
          <w:rFonts w:ascii="Calibri" w:cs="Calibri" w:eastAsia="Calibri" w:hAnsi="Calibri"/>
          <w:b/>
          <w:bCs/>
          <w:color w:val="000000"/>
          <w:sz w:val="28"/>
          <w:szCs w:val="28"/>
        </w:rPr>
        <w:t xml:space="preserve">7. MARCO DE REFRENCIA DE DESARROLLO SEGURO</w:t>
      </w:r>
    </w:p>
    <w:p>
      <w:r>
        <w:rPr>
          <w:sz w:val="2"/>
          <w:szCs w:val="2"/>
        </w:rPr>
        <w:t xml:space="preserve"/>
      </w:r>
    </w:p>
    <w:p>
      <w:pPr>
        <w:spacing w:after="120" w:before="0" w:line="252"/>
        <w:jc w:val="both"/>
      </w:pP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adopta como marco base de desarrollo seguro las mejores prácticas de ISO/IEC 27001:2022, ISO/IEC 27002:2022, OWASP ASVS, OWASP Top 10, OWASP SAMM, NIST Secure Software Development Framework (SSDF) SP 800-218, NIST Cybersecurity Framework y las políticas internas de seguridad de la información, control de accesos, desarrollo, cambios, vulnerabilidades, respaldos, incidentes y gestión de proveedores.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En cada documento de análisis, diseño, requerimiento, historia de usuario, especificación técnica, matriz de pruebas, checklist o acta de aceptación deberá asentarse el marco aplicable y los controles de seguridad utilizados.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desarrollos que procesen información de contribuyentes o transacciones del monedero electrónico deberán documentar requisitos mínimos de autenticación, autorización, validación de entradas, registro de eventos, cifrado, segregación de ambientes y manejo seguro de errores.</w:t>
      </w:r>
    </w:p>
    <w:p>
      <w:r>
        <w:t xml:space="preserve"> </w:t>
      </w:r>
    </w:p>
    <w:p>
      <w:pPr>
        <w:pStyle w:val="Heading1"/>
        <w:pBdr>
          <w:bottom w:val="single" w:color="D9D9D9" w:sz="4" w:space="8"/>
        </w:pBdr>
        <w:spacing w:after="200" w:before="400" w:line="240"/>
      </w:pPr>
      <w:bookmarkStart w:name="section_7_lineamientos_de_seguridad_para_desarrollos_internos_y_desarrollos_requeridos_a_proveedores" w:id="1"/>
      <w:r>
        <w:t xml:space="preserve"/>
      </w:r>
      <w:bookmarkEnd w:id="1"/>
      <w:r>
        <w:rPr>
          <w:rFonts w:ascii="Calibri" w:cs="Calibri" w:eastAsia="Calibri" w:hAnsi="Calibri"/>
          <w:b/>
          <w:bCs/>
          <w:color w:val="000000"/>
          <w:sz w:val="28"/>
          <w:szCs w:val="28"/>
        </w:rPr>
        <w:t xml:space="preserve">8. LINEAMIENTOS DE SEGURIDAD PARA DESARROLLOS INTERNOS Y DESARROLLOS REQUERIDOS A PROVEEDORES</w:t>
      </w:r>
    </w:p>
    <w:p>
      <w:r>
        <w:rPr>
          <w:sz w:val="2"/>
          <w:szCs w:val="2"/>
        </w:rPr>
        <w:t xml:space="preserve"/>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Todo requerimiento de desarrollo deberá incluir una sección de requisitos de seguridad, clasificación de información, riesgos identificados y controles esperados.</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El diseño deberá contemplar arquitectura segura, segregación de funciones, control de acceso por rol, mínimo privilegio, validaciones de negocio, bitácoras, cifrado de información sensible y manejo seguro de sesiones.</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val="false"/>
          <w:bCs w:val="false"/>
          <w:color w:val="333333"/>
          <w:sz w:val="20"/>
          <w:szCs w:val="20"/>
        </w:rPr>
        <w:t xml:space="preserve">El código fuente deberá desarrollarse conforme a prácticas de codificación segura, evitando credenciales embebidas, secretos expuestos, librerías vulnerables, consultas inseguras, fallas de control de acceso y dependencias sin soporte.</w:t>
      </w:r>
    </w:p>
    <w:p>
      <w:pPr>
        <w:spacing w:line="276"/>
        <w:ind w:left="360" w:hanging="0"/>
        <w:jc w:val="left"/>
      </w:pPr>
      <w:r>
        <w:rPr>
          <w:rFonts w:ascii="Calibri" w:cs="Calibri" w:eastAsia="Calibri" w:hAnsi="Calibri"/>
          <w:sz w:val="20"/>
          <w:szCs w:val="20"/>
        </w:rPr>
        <w:t xml:space="preserve">4.  </w:t>
      </w:r>
      <w:r>
        <w:rPr>
          <w:rFonts w:ascii="Calibri" w:cs="Calibri" w:eastAsia="Calibri" w:hAnsi="Calibri"/>
          <w:b w:val="false"/>
          <w:bCs w:val="false"/>
          <w:color w:val="333333"/>
          <w:sz w:val="20"/>
          <w:szCs w:val="20"/>
        </w:rPr>
        <w:t xml:space="preserve">Los repositorios deberán contar con control de versiones, trazabilidad de cambios, revisión por pares y restricciones para ramas productivas o ramas protegidas.</w:t>
      </w:r>
    </w:p>
    <w:p>
      <w:pPr>
        <w:spacing w:line="276"/>
        <w:ind w:left="360" w:hanging="0"/>
        <w:jc w:val="left"/>
      </w:pPr>
      <w:r>
        <w:rPr>
          <w:rFonts w:ascii="Calibri" w:cs="Calibri" w:eastAsia="Calibri" w:hAnsi="Calibri"/>
          <w:sz w:val="20"/>
          <w:szCs w:val="20"/>
        </w:rPr>
        <w:t xml:space="preserve">5.  </w:t>
      </w:r>
      <w:r>
        <w:rPr>
          <w:rFonts w:ascii="Calibri" w:cs="Calibri" w:eastAsia="Calibri" w:hAnsi="Calibri"/>
          <w:b w:val="false"/>
          <w:bCs w:val="false"/>
          <w:color w:val="333333"/>
          <w:sz w:val="20"/>
          <w:szCs w:val="20"/>
        </w:rPr>
        <w:t xml:space="preserve">Los proveedores deberán sujetarse a los lineamientos internos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a acuerdos de confidencialidad, cláusulas de propiedad intelectual, obligaciones de seguridad, entrega de evidencia y derecho de revisión o auditoría.</w:t>
      </w:r>
    </w:p>
    <w:p>
      <w:pPr>
        <w:spacing w:line="276"/>
        <w:ind w:left="360" w:hanging="0"/>
        <w:jc w:val="left"/>
      </w:pPr>
      <w:r>
        <w:rPr>
          <w:rFonts w:ascii="Calibri" w:cs="Calibri" w:eastAsia="Calibri" w:hAnsi="Calibri"/>
          <w:sz w:val="20"/>
          <w:szCs w:val="20"/>
        </w:rPr>
        <w:t xml:space="preserve">6.  </w:t>
      </w:r>
      <w:r>
        <w:rPr>
          <w:rFonts w:ascii="Calibri" w:cs="Calibri" w:eastAsia="Calibri" w:hAnsi="Calibri"/>
          <w:b w:val="false"/>
          <w:bCs w:val="false"/>
          <w:color w:val="333333"/>
          <w:sz w:val="20"/>
          <w:szCs w:val="20"/>
        </w:rPr>
        <w:t xml:space="preserve">No se aceptarán desarrollos que transmitan, almacenen o procesen información sensible sin controles de protección, cifrado, autenticación, trazabilidad y segregación de ambientes.</w:t>
      </w:r>
    </w:p>
    <w:p>
      <w:r>
        <w:t xml:space="preserve"> </w:t>
      </w:r>
    </w:p>
    <w:p>
      <w:pPr>
        <w:pStyle w:val="Heading1"/>
        <w:pBdr>
          <w:bottom w:val="single" w:color="D9D9D9" w:sz="4" w:space="8"/>
        </w:pBdr>
        <w:spacing w:after="200" w:before="400" w:line="240"/>
      </w:pPr>
      <w:bookmarkStart w:name="section_8_lineamientos_de_aceptacion_de_desarrollos" w:id="1"/>
      <w:r>
        <w:t xml:space="preserve"/>
      </w:r>
      <w:bookmarkEnd w:id="1"/>
      <w:r>
        <w:rPr>
          <w:rFonts w:ascii="Calibri" w:cs="Calibri" w:eastAsia="Calibri" w:hAnsi="Calibri"/>
          <w:b/>
          <w:bCs/>
          <w:color w:val="000000"/>
          <w:sz w:val="28"/>
          <w:szCs w:val="28"/>
        </w:rPr>
        <w:t xml:space="preserve">9. LINEAMIENTOS DE ACEPTACIÓN DE DESARROLLOS</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Ningún desarrollo podrá ser aceptado, liberado o integrado a producción si no cuenta con evidencia mínima de revisión funcional, revisión técnica, validación de seguridad, pruebas, control de vulnerabilidades y autorización del responsable del área solicitante, responsable de TI y responsable de Seguridad de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acta de aceptación deberá indicar alcance, versión, repositorio, ambiente probado, evidencias, pruebas realizadas, hallazgos, vulnerabilidades abiertas, controles compensatorios y restricciones de liberación.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vulnerabilidades críticas o altas deberán corregirse antes de la aceptación, salvo autorización excepcional documentada por la Dirección y Seguridad de la Información, con controles compensatorios y fecha de remediación.</w:t>
      </w:r>
    </w:p>
    <w:p>
      <w:r>
        <w:t xml:space="preserve"> </w:t>
      </w:r>
    </w:p>
    <w:p>
      <w:pPr>
        <w:pStyle w:val="Heading1"/>
        <w:pBdr>
          <w:bottom w:val="single" w:color="D9D9D9" w:sz="4" w:space="8"/>
        </w:pBdr>
        <w:spacing w:after="200" w:before="400" w:line="240"/>
      </w:pPr>
      <w:bookmarkStart w:name="section_9_lineamientos_para_definir_la_propiedad_intelectual_de_los_desarrollos_contratados_con_terceros" w:id="1"/>
      <w:r>
        <w:t xml:space="preserve"/>
      </w:r>
      <w:bookmarkEnd w:id="1"/>
      <w:r>
        <w:rPr>
          <w:rFonts w:ascii="Calibri" w:cs="Calibri" w:eastAsia="Calibri" w:hAnsi="Calibri"/>
          <w:b/>
          <w:bCs/>
          <w:color w:val="000000"/>
          <w:sz w:val="28"/>
          <w:szCs w:val="28"/>
        </w:rPr>
        <w:t xml:space="preserve">10. LINEAMIENTOS PARA DEFINIR LA PROPIEDAD INTELECTUAL DE LOS DESARROLLOS CONTRATADOS CON TERCEROS</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Todo contrato, orden de servicio, anexo técnico o acuerdo con proveedores que incluya desarrollo de software deberá definir de forma expresa la titularidad de código fuente, componentes, documentación, diseños, scripts, bases de datos, configuraciones, diagramas, manuales, APIs, librerías desarrolladas, entregables y derechos de explotación.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Cuando el desarrollo sea hecho a la medida 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la propiedad patrimonial, el código fuente, la documentación técnica y las credenciales de repositorio deberán quedar a favor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salvo excepción aprobada por Dirección y Jurídico.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licencias de terceros, componentes open source o software comercial deberán identificarse antes de su incorporación, documentando restricciones de uso, compatibilidad, soporte, vigencia y riesgos legales o de seguridad.</w:t>
      </w:r>
    </w:p>
    <w:p>
      <w:r>
        <w:t xml:space="preserve"> </w:t>
      </w:r>
    </w:p>
    <w:p>
      <w:pPr>
        <w:pStyle w:val="Heading1"/>
        <w:pBdr>
          <w:bottom w:val="single" w:color="D9D9D9" w:sz="4" w:space="8"/>
        </w:pBdr>
        <w:spacing w:after="200" w:before="400" w:line="240"/>
      </w:pPr>
      <w:bookmarkStart w:name="section_10_restricciones_de_cambios_en_software_de_proposito_general" w:id="1"/>
      <w:r>
        <w:t xml:space="preserve"/>
      </w:r>
      <w:bookmarkEnd w:id="1"/>
      <w:r>
        <w:rPr>
          <w:rFonts w:ascii="Calibri" w:cs="Calibri" w:eastAsia="Calibri" w:hAnsi="Calibri"/>
          <w:b/>
          <w:bCs/>
          <w:color w:val="000000"/>
          <w:sz w:val="28"/>
          <w:szCs w:val="28"/>
        </w:rPr>
        <w:t xml:space="preserve">11. RESTRICCIONES DE CAMBIOS EN SOFTWARE DE PROPÓSITO GENERAL</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Queda restringida la modificación, extensión, configuración insegura, instalación de complementos, macros, scripts, conectores o automatizaciones en software de propósito general, incluyendo ofimática, diseño, bases de datos, navegadores, herramientas de administración, herramientas de análisis, editores, utilerías y software de colaboración, cuando dichos cambios puedan afectar la seguridad, disponibilidad, integridad, confidencialidad o trazabilidad de la operación del monedero electrónico.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excepción deberá documentarse en el formato correspondiente, incluir justificación, análisis de riesgo, controles compensatorios, periodo de vigencia, responsable de operación y autorización de Seguridad de la Información y TI</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prohíbe el uso de macros, scripts o complementos no autorizados para procesar información de contribuyentes, credenciales, bases de datos, transacciones o reportes operativos.</w:t>
      </w:r>
    </w:p>
    <w:p>
      <w:r>
        <w:t xml:space="preserve"> </w:t>
      </w:r>
    </w:p>
    <w:p>
      <w:pPr>
        <w:pStyle w:val="Heading1"/>
        <w:pBdr>
          <w:bottom w:val="single" w:color="D9D9D9" w:sz="4" w:space="8"/>
        </w:pBdr>
        <w:spacing w:after="200" w:before="400" w:line="240"/>
      </w:pPr>
      <w:bookmarkStart w:name="section_11_lineamientos_para_establecer_un_entorno_seguro_para_desarrollos_realizados_por_empleados" w:id="1"/>
      <w:r>
        <w:t xml:space="preserve"/>
      </w:r>
      <w:bookmarkEnd w:id="1"/>
      <w:r>
        <w:rPr>
          <w:rFonts w:ascii="Calibri" w:cs="Calibri" w:eastAsia="Calibri" w:hAnsi="Calibri"/>
          <w:b/>
          <w:bCs/>
          <w:color w:val="000000"/>
          <w:sz w:val="28"/>
          <w:szCs w:val="28"/>
        </w:rPr>
        <w:t xml:space="preserve">12. LINEAMIENTOS PARA ESTABLECER UN ENTORNO SEGURO PARA DESARROLLOS REALIZADOS POR EMPLEADOS</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Los ambientes de desarrollo deberán operar de manera segregada respecto de pruebas y producción. Los accesos deberán asignarse por rol, bajo mínimo privilegio, con autenticación individual, trazabilidad de cambios, protección de secretos, control de dependencias y repositorios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se deberá usar información real de contribuyentes en ambientes de desarrollo, salvo autorización formal, análisis de riesgo y mecanismos de anonimización, enmascaramiento o protección equivalente.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equipos de desarrollo deberán contar con controles de seguridad base: antivirus/EDR, bloqueo automático, control de instalación de software, cifrado de disco cuando aplique, restricción de privilegios administrativos y actualizaciones de 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credenciales, tokens, certificados, llaves, cadenas de conexión y secretos deberán almacenarse en bóvedas, variables protegidas o mecanismos autorizados. Se prohíbe almacenarlos en texto claro o dentro del código fuente.</w:t>
      </w:r>
    </w:p>
    <w:p>
      <w:r>
        <w:t xml:space="preserve"> </w:t>
      </w:r>
    </w:p>
    <w:p>
      <w:pPr>
        <w:pStyle w:val="Heading1"/>
        <w:pBdr>
          <w:bottom w:val="single" w:color="D9D9D9" w:sz="4" w:space="8"/>
        </w:pBdr>
        <w:spacing w:after="200" w:before="400" w:line="240"/>
      </w:pPr>
      <w:bookmarkStart w:name="section_12_penalizaciones_por_incumplimiento_de_lo_establecido_en_la_politica" w:id="1"/>
      <w:r>
        <w:t xml:space="preserve"/>
      </w:r>
      <w:bookmarkEnd w:id="1"/>
      <w:r>
        <w:rPr>
          <w:rFonts w:ascii="Calibri" w:cs="Calibri" w:eastAsia="Calibri" w:hAnsi="Calibri"/>
          <w:b/>
          <w:bCs/>
          <w:color w:val="000000"/>
          <w:sz w:val="28"/>
          <w:szCs w:val="28"/>
        </w:rPr>
        <w:t xml:space="preserve">13. PENALIZACIONES POR INCUMPLIMIENTO DE LO ESTABLECIDO EN LA POLÍTICA</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El incumplimiento de los lineamientos establecidos en esta política será sujeto a sanciones conforme a la normativa interna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la gravedad de la falta:</w:t>
      </w:r>
    </w:p>
    <w:p>
      <w:pPr>
        <w:spacing w:after="120" w:before="0" w:line="276"/>
        <w:jc w:val="left"/>
      </w:pPr>
      <w:r>
        <w:rPr>
          <w:rFonts w:ascii="Calibri" w:cs="Calibri" w:eastAsia="Calibri" w:hAnsi="Calibri"/>
          <w:b/>
          <w:bCs/>
          <w:color w:val="333333"/>
          <w:sz w:val="20"/>
          <w:szCs w:val="20"/>
        </w:rPr>
        <w:t xml:space="preserve">Faltas Leves </w:t>
      </w:r>
      <w:r>
        <w:rPr>
          <w:rFonts w:ascii="Calibri" w:cs="Calibri" w:eastAsia="Calibri" w:hAnsi="Calibri"/>
          <w:b w:val="false"/>
          <w:bCs w:val="false"/>
          <w:color w:val="333333"/>
          <w:sz w:val="20"/>
          <w:szCs w:val="20"/>
        </w:rPr>
        <w:t xml:space="preserve">(Ej. Omisión de lectura de boletines de seguridad): Amonestación verbal y re-capacitación inmediata sobre la importancia de la inteligencia de amenazas.</w:t>
      </w:r>
    </w:p>
    <w:p>
      <w:pPr>
        <w:spacing w:after="120" w:before="0" w:line="276"/>
        <w:jc w:val="left"/>
      </w:pPr>
      <w:r>
        <w:rPr>
          <w:rFonts w:ascii="Calibri" w:cs="Calibri" w:eastAsia="Calibri" w:hAnsi="Calibri"/>
          <w:b/>
          <w:bCs/>
          <w:color w:val="333333"/>
          <w:sz w:val="20"/>
          <w:szCs w:val="20"/>
        </w:rPr>
        <w:t xml:space="preserve">Faltas Graves</w:t>
      </w:r>
      <w:r>
        <w:rPr>
          <w:rFonts w:ascii="Calibri" w:cs="Calibri" w:eastAsia="Calibri" w:hAnsi="Calibri"/>
          <w:b w:val="false"/>
          <w:bCs w:val="false"/>
          <w:color w:val="333333"/>
          <w:sz w:val="20"/>
          <w:szCs w:val="20"/>
        </w:rPr>
        <w:t xml:space="preserve"> (Ej. Permitir la expiración de suscripciones críticas o no reportar una alerta de vulnerabilidad detectada en los boletines): Amonestación por escrito con copia al expediente laboral y posible suspensión de funciones relacionadas con la administración de sistemas.</w:t>
      </w:r>
    </w:p>
    <w:p>
      <w:pPr>
        <w:spacing w:after="120" w:before="0" w:line="276"/>
        <w:jc w:val="left"/>
      </w:pPr>
      <w:r>
        <w:rPr>
          <w:rFonts w:ascii="Calibri" w:cs="Calibri" w:eastAsia="Calibri" w:hAnsi="Calibri"/>
          <w:b/>
          <w:bCs/>
          <w:color w:val="333333"/>
          <w:sz w:val="20"/>
          <w:szCs w:val="20"/>
        </w:rPr>
        <w:t xml:space="preserve">Faltas Críticas</w:t>
      </w:r>
      <w:r>
        <w:rPr>
          <w:rFonts w:ascii="Calibri" w:cs="Calibri" w:eastAsia="Calibri" w:hAnsi="Calibri"/>
          <w:b w:val="false"/>
          <w:bCs w:val="false"/>
          <w:color w:val="333333"/>
          <w:sz w:val="20"/>
          <w:szCs w:val="20"/>
        </w:rPr>
        <w:t xml:space="preserve"> (Ej. Omisión deliberada que resulte en la materialización de un riesgo por no seguir las alertas de los grupos de interés): Terminación de la relación contractual, sin perjuicio de las acciones legales que correspondan por poner en riesgo la confidencialidad de la información de los contribuyentes.</w:t>
      </w:r>
    </w:p>
    <w:p>
      <w:r>
        <w:t xml:space="preserve"> </w:t>
      </w:r>
    </w:p>
    <w:p>
      <w:pPr>
        <w:pStyle w:val="Heading1"/>
        <w:pBdr>
          <w:bottom w:val="single" w:color="D9D9D9" w:sz="4" w:space="8"/>
        </w:pBdr>
        <w:spacing w:after="200" w:before="400" w:line="240"/>
      </w:pPr>
      <w:bookmarkStart w:name="section_13_lineamientos_de_atencion_a_situaciones_fortuitas" w:id="1"/>
      <w:r>
        <w:t xml:space="preserve"/>
      </w:r>
      <w:bookmarkEnd w:id="1"/>
      <w:r>
        <w:rPr>
          <w:rFonts w:ascii="Calibri" w:cs="Calibri" w:eastAsia="Calibri" w:hAnsi="Calibri"/>
          <w:b/>
          <w:bCs/>
          <w:color w:val="000000"/>
          <w:sz w:val="28"/>
          <w:szCs w:val="28"/>
        </w:rPr>
        <w:t xml:space="preserve">14. LINEAMIENTOS DE ATENCIÓN A SITUACIONES FORTUITAS</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Cuando ocurra una situación fortuita relacionada con desarrollo seguro, como fuga de código, exposición de secretos, pérdida de repositorio, caída de herramientas de desarrollo, alteración no autorizada de código, vulnerabilidad crítica, error de despliegue, indisponibilidad de ambientes, pérdida de evidencia o incidente con proveedor, se deberán ejecutar las siguientes acciones:</w:t>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Registrar el evento en el formato de situación fortuita relacionada con desarrollo seguro.</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Contener el riesgo técnico, revocar secretos expuestos, suspender accesos o congelar liberaciones si corresponde.</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val="false"/>
          <w:bCs w:val="false"/>
          <w:color w:val="333333"/>
          <w:sz w:val="20"/>
          <w:szCs w:val="20"/>
        </w:rPr>
        <w:t xml:space="preserve">Notificar a Seguridad de la Información, TI, responsable del sistema, Dirección y, cuando aplique, Jurídico y proveedor involucrado.</w:t>
      </w:r>
    </w:p>
    <w:p>
      <w:pPr>
        <w:spacing w:line="276"/>
        <w:ind w:left="360" w:hanging="0"/>
        <w:jc w:val="left"/>
      </w:pPr>
      <w:r>
        <w:rPr>
          <w:rFonts w:ascii="Calibri" w:cs="Calibri" w:eastAsia="Calibri" w:hAnsi="Calibri"/>
          <w:sz w:val="20"/>
          <w:szCs w:val="20"/>
        </w:rPr>
        <w:t xml:space="preserve">4.  </w:t>
      </w:r>
      <w:r>
        <w:rPr>
          <w:rFonts w:ascii="Calibri" w:cs="Calibri" w:eastAsia="Calibri" w:hAnsi="Calibri"/>
          <w:b w:val="false"/>
          <w:bCs w:val="false"/>
          <w:color w:val="333333"/>
          <w:sz w:val="20"/>
          <w:szCs w:val="20"/>
        </w:rPr>
        <w:t xml:space="preserve">Conservar evidencias técnicas, bitácoras, commits, tickets, reportes de herramientas y comunicaciones relevantes.</w:t>
      </w:r>
    </w:p>
    <w:p>
      <w:pPr>
        <w:spacing w:line="276"/>
        <w:ind w:left="360" w:hanging="0"/>
        <w:jc w:val="left"/>
      </w:pPr>
      <w:r>
        <w:rPr>
          <w:rFonts w:ascii="Calibri" w:cs="Calibri" w:eastAsia="Calibri" w:hAnsi="Calibri"/>
          <w:sz w:val="20"/>
          <w:szCs w:val="20"/>
        </w:rPr>
        <w:t xml:space="preserve">5.  </w:t>
      </w:r>
      <w:r>
        <w:rPr>
          <w:rFonts w:ascii="Calibri" w:cs="Calibri" w:eastAsia="Calibri" w:hAnsi="Calibri"/>
          <w:b w:val="false"/>
          <w:bCs w:val="false"/>
          <w:color w:val="333333"/>
          <w:sz w:val="20"/>
          <w:szCs w:val="20"/>
        </w:rPr>
        <w:t xml:space="preserve">Definir acciones correctivas, responsables, fechas compromiso y criterios de cierre.</w:t>
      </w:r>
    </w:p>
    <w:p>
      <w:r>
        <w:t xml:space="preserve"> </w:t>
      </w:r>
    </w:p>
    <w:p>
      <w:pPr>
        <w:pStyle w:val="Heading1"/>
        <w:pBdr>
          <w:bottom w:val="single" w:color="D9D9D9" w:sz="4" w:space="8"/>
        </w:pBdr>
        <w:spacing w:after="200" w:before="400" w:line="240"/>
      </w:pPr>
      <w:bookmarkStart w:name="section_14_periodicidad_de_revision" w:id="1"/>
      <w:r>
        <w:t xml:space="preserve"/>
      </w:r>
      <w:bookmarkEnd w:id="1"/>
      <w:r>
        <w:rPr>
          <w:rFonts w:ascii="Calibri" w:cs="Calibri" w:eastAsia="Calibri" w:hAnsi="Calibri"/>
          <w:b/>
          <w:bCs/>
          <w:color w:val="000000"/>
          <w:sz w:val="28"/>
          <w:szCs w:val="28"/>
        </w:rPr>
        <w:t xml:space="preserve">15.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5_glosario" w:id="1"/>
      <w:r>
        <w:rPr>
          <w:rFonts w:ascii="Calibri" w:cs="Calibri" w:eastAsia="Calibri" w:hAnsi="Calibri"/>
          <w:b/>
          <w:bCs/>
          <w:color w:val="000000"/>
          <w:sz w:val="28"/>
          <w:szCs w:val="28"/>
        </w:rPr>
        <w:t xml:space="preserve">16.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PO-SF-013</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desarrollo seguro de la persona moral</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15/5/2026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Sistemas</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PO-SF-013</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desarrollo seguro de la persona moral</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15/5/2026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Sistemas</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Poltica de desarrollo seguro de la persona moral</dc:title>
  <dc:subject>Poltica</dc:subject>
  <dc:creator>Administrador MAPLINKS</dc:creator>
  <cp:keywords>PO-SF-013</cp:keywords>
  <dc:description>Documento PO-SF-013</dc:description>
  <cp:lastModifiedBy>Administrador MAPLINKS</cp:lastModifiedBy>
  <cp:revision>1</cp:revision>
  <dcterms:created xsi:type="dcterms:W3CDTF">2026-09-30T21:33:46.626Z</dcterms:created>
  <dcterms:modified xsi:type="dcterms:W3CDTF">2026-09-30T21:33:46.626Z</dcterms:modified>
</cp:coreProperties>
</file>

<file path=docProps/custom.xml><?xml version="1.0" encoding="utf-8"?>
<Properties xmlns="http://schemas.openxmlformats.org/officeDocument/2006/custom-properties" xmlns:vt="http://schemas.openxmlformats.org/officeDocument/2006/docPropsVTypes"/>
</file>