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/>
        <w:pBdr>
          <w:bottom w:val="single" w:sz="8" w:space="1" w:color="B9D1EE"/>
        </w:pBdr>
      </w:pPr>
    </w:p>
    <w:p>
      <w:pPr>
        <w:pStyle w:val="Heading1"/>
        <w:spacing w:before="160" w:after="80"/>
      </w:pPr>
      <w:r>
        <w:t>1. DATOS DEL EVENTO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5040"/>
        <w:gridCol w:w="5040"/>
      </w:tblGrid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Folio del evento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Fecha y hora de detección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Reportado por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Sistema / desarrollo afectado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Tipo de situación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☐ Exposición de código    ☐ Secreto comprometido    ☐ Pérdida de repositorio    ☐ Vulnerabilidad crítica    ☐ Caída de herramientas    ☐ Otro</w:t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Criticidad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☐ Crítica    ☐ Alta    ☐ Media    ☐ Baja</w:t>
            </w:r>
          </w:p>
        </w:tc>
      </w:tr>
    </w:tbl>
    <w:p>
      <w:pPr>
        <w:pStyle w:val="Heading1"/>
        <w:spacing w:before="160" w:after="80"/>
      </w:pPr>
      <w:r>
        <w:t>2. DESCRIPCIÓN E IMPACTO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5040"/>
        <w:gridCol w:w="5040"/>
      </w:tblGrid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Descripción de la situación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Impacto potencial o confirmado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Información involucrada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Ambientes afectados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☐ Desarrollo    ☐ Pruebas    ☐ Preproducción    ☐ Producción    ☐ Repositorios</w:t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Proveedor involucrado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☐ Sí    ☐ No    Nombre: __________________________</w:t>
            </w:r>
          </w:p>
        </w:tc>
      </w:tr>
    </w:tbl>
    <w:p>
      <w:pPr>
        <w:pStyle w:val="Heading1"/>
        <w:spacing w:before="160" w:after="80"/>
      </w:pPr>
      <w:r>
        <w:t>3. CONTENCIÓN, CORRECCIÓN Y CIERRE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592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3"/>
              </w:rPr>
              <w:t>Acción</w:t>
            </w:r>
          </w:p>
        </w:tc>
        <w:tc>
          <w:tcPr>
            <w:tcW w:type="dxa" w:w="1728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3"/>
              </w:rPr>
              <w:t>Responsable</w:t>
            </w:r>
          </w:p>
        </w:tc>
        <w:tc>
          <w:tcPr>
            <w:tcW w:type="dxa" w:w="1728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3"/>
              </w:rPr>
              <w:t>Fecha compromiso</w:t>
            </w:r>
          </w:p>
        </w:tc>
        <w:tc>
          <w:tcPr>
            <w:tcW w:type="dxa" w:w="2448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3"/>
              </w:rPr>
              <w:t>Estatus</w:t>
            </w:r>
          </w:p>
        </w:tc>
        <w:tc>
          <w:tcPr>
            <w:tcW w:type="dxa" w:w="1872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3"/>
              </w:rPr>
              <w:t>Evidencia</w:t>
            </w:r>
          </w:p>
        </w:tc>
      </w:tr>
      <w:tr>
        <w:tc>
          <w:tcPr>
            <w:tcW w:type="dxa" w:w="259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Contención inicial</w:t>
            </w:r>
          </w:p>
        </w:tc>
        <w:tc>
          <w:tcPr>
            <w:tcW w:type="dxa" w:w="172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172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44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Pendiente  ☐ En proceso  ☐ Cerrada</w:t>
            </w:r>
          </w:p>
        </w:tc>
        <w:tc>
          <w:tcPr>
            <w:tcW w:type="dxa" w:w="187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259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Revocación de accesos / secretos</w:t>
            </w:r>
          </w:p>
        </w:tc>
        <w:tc>
          <w:tcPr>
            <w:tcW w:type="dxa" w:w="172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172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44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Pendiente  ☐ En proceso  ☐ Cerrada</w:t>
            </w:r>
          </w:p>
        </w:tc>
        <w:tc>
          <w:tcPr>
            <w:tcW w:type="dxa" w:w="187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259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Corrección técnica</w:t>
            </w:r>
          </w:p>
        </w:tc>
        <w:tc>
          <w:tcPr>
            <w:tcW w:type="dxa" w:w="172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172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44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Pendiente  ☐ En proceso  ☐ Cerrada</w:t>
            </w:r>
          </w:p>
        </w:tc>
        <w:tc>
          <w:tcPr>
            <w:tcW w:type="dxa" w:w="187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259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Validación posterior</w:t>
            </w:r>
          </w:p>
        </w:tc>
        <w:tc>
          <w:tcPr>
            <w:tcW w:type="dxa" w:w="172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172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44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Pendiente  ☐ En proceso  ☐ Cerrada</w:t>
            </w:r>
          </w:p>
        </w:tc>
        <w:tc>
          <w:tcPr>
            <w:tcW w:type="dxa" w:w="187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259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Actualización de documentación</w:t>
            </w:r>
          </w:p>
        </w:tc>
        <w:tc>
          <w:tcPr>
            <w:tcW w:type="dxa" w:w="172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172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44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Pendiente  ☐ En proceso  ☐ Cerrada</w:t>
            </w:r>
          </w:p>
        </w:tc>
        <w:tc>
          <w:tcPr>
            <w:tcW w:type="dxa" w:w="187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</w:tbl>
    <w:p>
      <w:pPr>
        <w:pStyle w:val="Heading1"/>
        <w:spacing w:before="160" w:after="80"/>
      </w:pPr>
      <w:r>
        <w:t>4. CIERRE DEL EVENTO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5040"/>
        <w:gridCol w:w="5040"/>
      </w:tblGrid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Causa raíz identificada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Lecciones aprendidas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Fecha de cierre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Estado final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☐ Cerrado    ☐ Cerrado con acciones pendientes    ☐ Escalado a incidente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3360"/>
        <w:gridCol w:w="3360"/>
        <w:gridCol w:w="3360"/>
      </w:tblGrid>
      <w:tr>
        <w:tc>
          <w:tcPr>
            <w:tcW w:type="dxa" w:w="3456"/>
            <w:tcBorders>
              <w:top w:val="single" w:sz="6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 w:val="0"/>
                <w:i w:val="0"/>
                <w:sz w:val="15"/>
              </w:rPr>
              <w:t>Reporta</w:t>
            </w:r>
          </w:p>
        </w:tc>
        <w:tc>
          <w:tcPr>
            <w:tcW w:type="dxa" w:w="3456"/>
            <w:tcBorders>
              <w:top w:val="single" w:sz="6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 w:val="0"/>
                <w:i w:val="0"/>
                <w:sz w:val="15"/>
              </w:rPr>
              <w:t>Responsable técnico</w:t>
            </w:r>
          </w:p>
        </w:tc>
        <w:tc>
          <w:tcPr>
            <w:tcW w:type="dxa" w:w="3456"/>
            <w:tcBorders>
              <w:top w:val="single" w:sz="6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 w:val="0"/>
                <w:i w:val="0"/>
                <w:sz w:val="15"/>
              </w:rPr>
              <w:t>Seguridad de la Información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800" w:right="1080" w:bottom="1008" w:left="1080" w:header="216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 w:eastAsia="Calibri"/>
        <w:b w:val="0"/>
        <w:i w:val="0"/>
        <w:color w:val="646464"/>
        <w:sz w:val="14"/>
      </w:rPr>
      <w:t>Documento controlado de SENDERO FUEL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ook w:firstColumn="1" w:firstRow="1" w:lastColumn="0" w:lastRow="0" w:noHBand="0" w:noVBand="1" w:val="04A0"/>
      <w:tblLayout w:type="fixed"/>
    </w:tblPr>
    <w:tblGrid>
      <w:gridCol w:w="2074"/>
      <w:gridCol w:w="2074"/>
      <w:gridCol w:w="2074"/>
      <w:gridCol w:w="2074"/>
      <w:gridCol w:w="2074"/>
    </w:tblGrid>
    <w:tr>
      <w:tc>
        <w:tcPr>
          <w:tcW w:type="dxa" w:w="2376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/>
              <w:i w:val="0"/>
              <w:sz w:val="17"/>
            </w:rPr>
            <w:t>FO-SF-0102</w:t>
          </w:r>
        </w:p>
      </w:tc>
      <w:tc>
        <w:tcPr>
          <w:tcW w:type="dxa" w:w="6264"/>
          <w:gridSpan w:val="3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/>
              <w:i w:val="0"/>
              <w:sz w:val="16"/>
            </w:rPr>
            <w:t>Registro de situación fortuita relacionada con desarrollo seguro</w:t>
          </w:r>
        </w:p>
      </w:tc>
      <w:tc>
        <w:tcPr>
          <w:tcW w:type="dxa" w:w="1800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384048" cy="9601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96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  <w:tr>
      <w:tc>
        <w:tcPr>
          <w:tcW w:type="dxa" w:w="2376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 w:val="0"/>
              <w:i w:val="0"/>
              <w:sz w:val="14"/>
            </w:rPr>
            <w:t>Emisión: 15/05/2026</w:t>
          </w:r>
        </w:p>
      </w:tc>
      <w:tc>
        <w:tcPr>
          <w:tcW w:type="dxa" w:w="2088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 w:val="0"/>
              <w:i w:val="0"/>
              <w:sz w:val="14"/>
            </w:rPr>
            <w:t>Revisión: 15/05/2026</w:t>
          </w:r>
        </w:p>
      </w:tc>
      <w:tc>
        <w:tcPr>
          <w:tcW w:type="dxa" w:w="2088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 w:val="0"/>
              <w:i w:val="0"/>
              <w:sz w:val="14"/>
            </w:rPr>
            <w:t>Versión: 1</w:t>
          </w:r>
        </w:p>
      </w:tc>
      <w:tc>
        <w:tcPr>
          <w:tcW w:type="dxa" w:w="2088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 w:val="0"/>
              <w:i w:val="0"/>
              <w:sz w:val="14"/>
            </w:rPr>
            <w:t>Formato</w:t>
          </w:r>
        </w:p>
      </w:tc>
      <w:tc>
        <w:tcPr>
          <w:tcW w:type="dxa" w:w="1800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after="0" w:before="0"/>
          </w:pPr>
        </w:p>
      </w:tc>
    </w:tr>
    <w:tr>
      <w:tc>
        <w:tcPr>
          <w:tcW w:type="dxa" w:w="8640"/>
          <w:gridSpan w:val="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left"/>
          </w:pPr>
          <w:r>
            <w:rPr>
              <w:rFonts w:ascii="Calibri" w:hAnsi="Calibri" w:eastAsia="Calibri"/>
              <w:b w:val="0"/>
              <w:i w:val="0"/>
              <w:sz w:val="15"/>
            </w:rPr>
            <w:t>Área: TECNOLOGÍAS DE LA INFORMACIÓN</w:t>
          </w:r>
        </w:p>
      </w:tc>
      <w:tc>
        <w:tcPr>
          <w:tcW w:type="dxa" w:w="1800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/>
              <w:i w:val="0"/>
              <w:sz w:val="15"/>
            </w:rPr>
            <w:t>SENDERO FUEL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26262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C70C8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3C70C8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