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DATOS DEL DESARROLLO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del desarrollo / proyecto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Nombre del sistema, módulo o componente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Tipo de desarrollo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Interno    ☐ Proveedor    ☐ Integración    ☐ Mantenimiento    ☐ Emergente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Área solicitante / dueño del proceso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Responsable técnico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Repositorio / rama / versión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Ambiente evaluado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Desarrollo    ☐ Pruebas    ☐ Preproducción    ☐ Producción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Clasificación de la información procesada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Pública    ☐ Interna    ☐ Confidencial    ☐ Crítica / Contribuyentes</w:t>
            </w:r>
          </w:p>
        </w:tc>
      </w:tr>
    </w:tbl>
    <w:p>
      <w:pPr>
        <w:pStyle w:val="Heading1"/>
        <w:spacing w:before="160" w:after="80"/>
      </w:pPr>
      <w:r>
        <w:t>2. MARCO DE REFERENCIA APLICABLE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20"/>
        <w:gridCol w:w="2520"/>
        <w:gridCol w:w="2520"/>
        <w:gridCol w:w="2520"/>
      </w:tblGrid>
      <w:tr>
        <w:tc>
          <w:tcPr>
            <w:tcW w:type="dxa" w:w="316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4"/>
              </w:rPr>
              <w:t>Marco / norma / control</w:t>
            </w:r>
          </w:p>
        </w:tc>
        <w:tc>
          <w:tcPr>
            <w:tcW w:type="dxa" w:w="115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4"/>
              </w:rPr>
              <w:t>Aplica</w:t>
            </w:r>
          </w:p>
        </w:tc>
        <w:tc>
          <w:tcPr>
            <w:tcW w:type="dxa" w:w="34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4"/>
              </w:rPr>
              <w:t>Referencia o evidencia documental</w:t>
            </w:r>
          </w:p>
        </w:tc>
        <w:tc>
          <w:tcPr>
            <w:tcW w:type="dxa" w:w="259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4"/>
              </w:rPr>
              <w:t>Observaciones</w:t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ISO/IEC 27001:2022 / ISO/IEC 27002:2022</w:t>
            </w:r>
          </w:p>
        </w:tc>
        <w:tc>
          <w:tcPr>
            <w:tcW w:type="dxa" w:w="115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☐ Sí  ☐ No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OWASP ASVS</w:t>
            </w:r>
          </w:p>
        </w:tc>
        <w:tc>
          <w:tcPr>
            <w:tcW w:type="dxa" w:w="115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☐ Sí  ☐ No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OWASP Top 10</w:t>
            </w:r>
          </w:p>
        </w:tc>
        <w:tc>
          <w:tcPr>
            <w:tcW w:type="dxa" w:w="115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☐ Sí  ☐ No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OWASP SAMM</w:t>
            </w:r>
          </w:p>
        </w:tc>
        <w:tc>
          <w:tcPr>
            <w:tcW w:type="dxa" w:w="115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☐ Sí  ☐ No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NIST SSDF SP 800-218</w:t>
            </w:r>
          </w:p>
        </w:tc>
        <w:tc>
          <w:tcPr>
            <w:tcW w:type="dxa" w:w="115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☐ Sí  ☐ No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</w:tr>
      <w:tr>
        <w:tc>
          <w:tcPr>
            <w:tcW w:type="dxa" w:w="316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Políticas internas de SENDERO FUEL</w:t>
            </w:r>
          </w:p>
        </w:tc>
        <w:tc>
          <w:tcPr>
            <w:tcW w:type="dxa" w:w="115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  <w:t>☐ Sí  ☐ No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4"/>
              </w:rPr>
            </w:r>
          </w:p>
        </w:tc>
      </w:tr>
    </w:tbl>
    <w:p>
      <w:pPr>
        <w:pStyle w:val="Heading1"/>
        <w:spacing w:before="160" w:after="80"/>
      </w:pPr>
      <w:r>
        <w:t>3. MATRIZ DE REQUISITOS Y CONTROLES DE SEGURIDAD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520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Requisito / control</w:t>
            </w:r>
          </w:p>
        </w:tc>
        <w:tc>
          <w:tcPr>
            <w:tcW w:type="dxa" w:w="237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Criterio aplicable</w:t>
            </w:r>
          </w:p>
        </w:tc>
        <w:tc>
          <w:tcPr>
            <w:tcW w:type="dxa" w:w="2232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Evidencia</w:t>
            </w:r>
          </w:p>
        </w:tc>
        <w:tc>
          <w:tcPr>
            <w:tcW w:type="dxa" w:w="1944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Estatus</w:t>
            </w:r>
          </w:p>
        </w:tc>
        <w:tc>
          <w:tcPr>
            <w:tcW w:type="dxa" w:w="129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Responsable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Autenticación y gestión de sesiones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Autorización por roles / mínimo privilegio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Validación de entradas y salidas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Protección contra inyección y manipulación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Registro de eventos y trazabilidad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Cifrado de datos en tránsito y reposo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Manejo seguro de errores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Protección de secretos y credenciales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Control de dependencias y librerías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Segregación de ambientes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Pruebas de seguridad y vulnerabilidades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Respaldo y recuperación de componentes críticos</w:t>
            </w:r>
          </w:p>
        </w:tc>
        <w:tc>
          <w:tcPr>
            <w:tcW w:type="dxa" w:w="237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1944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Pendiente  ☐ Cumple  ☐ No cumple  ☐ No aplica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</w:tbl>
    <w:p>
      <w:pPr>
        <w:pStyle w:val="Heading1"/>
        <w:spacing w:before="160" w:after="80"/>
      </w:pPr>
      <w:r>
        <w:t>4. OBSERVACIONES Y APROBACIÓN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Observaciones generales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Riesgos o excepciones identificadas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revisión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técnico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Seguridad de la Información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Dueño del proceso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FO-SF-0096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Matriz de requisitos de desarrollo seguro y marco de referencia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