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15/9/2026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29/6/2026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57"/>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gestión de vulnerabilidades técnicas significa identificar, analizar, clasificar, priorizar, remediar y validar de manera formal las debilidades de seguridad que puedan afectar los activos tecnológicos relacionados con la operación del monedero electrónico de combustibles, incluyendo servidores, aplicaciones, bases de datos, equipos de red, infraestructura de comunicaciones, equipos de empleados, estaciones conectadas, ambientes de desarrollo, pruebas, producción y sitio alterno de recuperación.</w:t>
      </w:r>
    </w:p>
    <w:p>
      <w:pPr>
        <w:spacing w:after="120" w:before="0" w:line="257"/>
        <w:jc w:val="both"/>
      </w:pPr>
      <w:r>
        <w:rPr>
          <w:rFonts w:ascii="Calibri" w:cs="Calibri" w:eastAsia="Calibri" w:hAnsi="Calibri"/>
          <w:b w:val="false"/>
          <w:bCs w:val="false"/>
          <w:color w:val="333333"/>
          <w:sz w:val="20"/>
          <w:szCs w:val="20"/>
        </w:rPr>
        <w:t xml:space="preserve">Este procedimiento constituye el mecanismo formal mediante el cual la persona moral mantiene una vigilancia técnica continua sobre sus activos, documenta los resultados de análisis de vulnerabilidades y pruebas de penetración, asigna responsables de remediación, verifica la efectividad de las acciones correctivas y conserva evidencia suficiente para auditoría interna, revisión de seguridad y verificación tecnológica.</w:t>
      </w:r>
    </w:p>
    <w:p>
      <w:pPr>
        <w:spacing w:after="120" w:before="0" w:line="257"/>
        <w:jc w:val="both"/>
      </w:pPr>
      <w:r>
        <w:rPr>
          <w:rFonts w:ascii="Calibri" w:cs="Calibri" w:eastAsia="Calibri" w:hAnsi="Calibri"/>
          <w:b w:val="false"/>
          <w:bCs w:val="false"/>
          <w:color w:val="333333"/>
          <w:sz w:val="20"/>
          <w:szCs w:val="20"/>
        </w:rPr>
        <w:t xml:space="preserve">La gestión de vulnerabilidades no se limita a la ejecución de herramientas de escaneo. Comprende la actualización del inventario de activos, la autorización previa de herramientas, el control de ventanas de ejecución, la protección de información sensible, la coordinación con proveedores, el seguimiento de planes de remediación, la validación posterior mediante reescaneo y la aceptación formal de riesgos residuales cuando la corrección inmediata no sea técnica u operativamente viable.</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57"/>
        <w:jc w:val="both"/>
      </w:pPr>
      <w:r>
        <w:rPr>
          <w:rFonts w:ascii="Calibri" w:cs="Calibri" w:eastAsia="Calibri" w:hAnsi="Calibri"/>
          <w:b w:val="false"/>
          <w:bCs w:val="false"/>
          <w:color w:val="333333"/>
          <w:sz w:val="20"/>
          <w:szCs w:val="20"/>
        </w:rPr>
        <w:t xml:space="preserve">Establecer el procedimiento mediante el cual SENDERO FUEL gestiona las vulnerabilidades técnicas de los activos relacionados con las actividades del monedero electrónico de combustibles, equipos de los empleados y equipos de red, asegurando que cada vulnerabilidad detectada sea registrada, clasificada, atendida, remediada, validada y cerrada con evidencia verificable.</w:t>
      </w:r>
    </w:p>
    <w:p>
      <w:pPr>
        <w:spacing w:after="120" w:before="0" w:line="257"/>
        <w:jc w:val="left"/>
      </w:pPr>
      <w:r>
        <w:rPr>
          <w:rFonts w:ascii="Calibri" w:cs="Calibri" w:eastAsia="Calibri" w:hAnsi="Calibri"/>
          <w:b w:val="false"/>
          <w:bCs w:val="false"/>
          <w:color w:val="333333"/>
          <w:sz w:val="20"/>
          <w:szCs w:val="20"/>
        </w:rPr>
        <w:t xml:space="preserve">El procedimiento tiene como objetivos específicos: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Definir el ciclo de gestión de vulnerabilidades técnicas desde la identificación del activo hasta el cierre formal del hallazgo.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Establecer responsabilidades claras para Seguridad de la Información, TI, proveedores, responsables de activos, desarrollo y usuarios custodios.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Asegurar que las herramientas de análisis se utilicen bajo autorización, alcance y evidencia documental conforme al PR-SF-014.</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Definir criterios homogéneos de severidad, riesgo, SLA de atención y priorización de vulnerabilidades.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 los resultados de análisis de vulnerabilidades y pruebas de penetración en formatos controlados.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Validar que las remediaciones implementadas reduzcan efectivamente el riesgo técnico identificado.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Conservar evidencia suficiente para demostrar cumplimiento ante auditoría, revisión de seguridad y verificación tecnológica.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57"/>
        <w:jc w:val="both"/>
      </w:pPr>
      <w:r>
        <w:rPr>
          <w:rFonts w:ascii="Calibri" w:cs="Calibri" w:eastAsia="Calibri" w:hAnsi="Calibri"/>
          <w:b w:val="false"/>
          <w:bCs w:val="false"/>
          <w:color w:val="333333"/>
          <w:sz w:val="20"/>
          <w:szCs w:val="20"/>
        </w:rPr>
        <w:t xml:space="preserve">Este procedimiento aplica a todos los activos tecnológicos que soportan, administran, protegen, transmiten, almacenan o permiten operar información del monedero electrónico de combustibles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incluyendo activos propios, administrados por proveedores o utilizados por terceros autorizados.</w:t>
      </w:r>
    </w:p>
    <w:p>
      <w:pPr>
        <w:spacing w:after="120" w:before="0" w:line="257"/>
        <w:jc w:val="left"/>
      </w:pPr>
      <w:r>
        <w:rPr>
          <w:rFonts w:ascii="Calibri" w:cs="Calibri" w:eastAsia="Calibri" w:hAnsi="Calibri"/>
          <w:b w:val="false"/>
          <w:bCs w:val="false"/>
          <w:color w:val="333333"/>
          <w:sz w:val="20"/>
          <w:szCs w:val="20"/>
        </w:rPr>
        <w:t xml:space="preserve">El alcance comprende,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Aplicación móvil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componentes asociados al canal de usuarios, conductores y administradores.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API, Portal Clientes Monedero, ERP monedero, servicios web, endpoints, servicios de autenticación y componentes de integración.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Bases de datos transaccionales, repositorios de información, respaldos, almacenamiento, documentación técnica y evidencias del monedero.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Servidores de producción, desarrollo, pruebas/QA, sitio alterno DRP, hipervisores, máquinas virtuales, contenedores, runners de CI/CD y servicios de despliegue.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Firewalls, VPN IPSEC, switches, routers, redes inalámbricas, enlaces, segmentos de gestión y componentes de seguridad perimetral.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Equipos de empleados, laptops, estaciones de trabajo, dispositivos móviles, tokens, cuentas administrativas y equipos utilizados para soporte, operación, desarrollo, auditoría o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Equipos y componentes ubicados en oficinas, centros de datos, estaciones de servicio, sitios de proveedores, ambiente remoto y cualquier ubicación autorizada relacionada con 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de análisis de vulnerabilidades, escáneres, scripts, consolas y utilerías de diagnóstico utilizadas para evaluar los activos anteriores.</w:t>
      </w:r>
    </w:p>
    <w:p>
      <w:pPr>
        <w:spacing w:after="120" w:before="0" w:line="257"/>
        <w:jc w:val="both"/>
      </w:pPr>
      <w:r>
        <w:rPr>
          <w:rFonts w:ascii="Calibri" w:cs="Calibri" w:eastAsia="Calibri" w:hAnsi="Calibri"/>
          <w:b w:val="false"/>
          <w:bCs w:val="false"/>
          <w:color w:val="333333"/>
          <w:sz w:val="20"/>
          <w:szCs w:val="20"/>
        </w:rPr>
        <w:t xml:space="preserve">El alcance operativo será a todos los dispositivos relacionados con el monedero electrónico. Mientras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no haya iniciado operaciones productivas, las ventanas de análisis podrán ejecutarse en horario abierto, previa autorización interna. Una vez iniciada la operación, los análisis que puedan afectar disponibilidad deberán programarse preferentemente en fines de semana, después de las 20:00 horas, o en la ventana autorizada por el responsable del servicio.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EV-SF-017 — DOC_SF_023 REPORTE PENTEST.pdf</w:t>
      </w:r>
    </w:p>
    <w:p>
      <w:pPr>
        <w:spacing w:after="60" w:before="60" w:line="276"/>
      </w:pPr>
      <w:r>
        <w:rPr>
          <w:rFonts w:ascii="Calibri" w:cs="Calibri" w:eastAsia="Calibri" w:hAnsi="Calibri"/>
          <w:b w:val="false"/>
          <w:bCs w:val="false"/>
          <w:color w:val="333333"/>
          <w:sz w:val="20"/>
          <w:szCs w:val="20"/>
        </w:rPr>
        <w:t xml:space="preserve">• EV-SF-018 — ACTA_HECHOS_SMART.pdf</w:t>
      </w:r>
    </w:p>
    <w:p>
      <w:pPr>
        <w:spacing w:after="60" w:before="60" w:line="276"/>
      </w:pPr>
      <w:r>
        <w:rPr>
          <w:rFonts w:ascii="Calibri" w:cs="Calibri" w:eastAsia="Calibri" w:hAnsi="Calibri"/>
          <w:b w:val="false"/>
          <w:bCs w:val="false"/>
          <w:color w:val="333333"/>
          <w:sz w:val="20"/>
          <w:szCs w:val="20"/>
        </w:rPr>
        <w:t xml:space="preserve">• FO-SF-120 — FO-SF-0120_Calendario_anual_analisis_vulnerabilidades_SENDERO_FUEL.docx</w:t>
      </w:r>
    </w:p>
    <w:p>
      <w:pPr>
        <w:spacing w:after="60" w:before="60" w:line="276"/>
      </w:pPr>
      <w:r>
        <w:rPr>
          <w:rFonts w:ascii="Calibri" w:cs="Calibri" w:eastAsia="Calibri" w:hAnsi="Calibri"/>
          <w:b w:val="false"/>
          <w:bCs w:val="false"/>
          <w:color w:val="333333"/>
          <w:sz w:val="20"/>
          <w:szCs w:val="20"/>
        </w:rPr>
        <w:t xml:space="preserve">• FO-SF-121 — FO-SF-0121_Protocolo_analisis_vulnerabilidades_SENDERO_FUEL.docx</w:t>
      </w:r>
    </w:p>
    <w:p>
      <w:pPr>
        <w:spacing w:after="60" w:before="60" w:line="276"/>
      </w:pPr>
      <w:r>
        <w:rPr>
          <w:rFonts w:ascii="Calibri" w:cs="Calibri" w:eastAsia="Calibri" w:hAnsi="Calibri"/>
          <w:b w:val="false"/>
          <w:bCs w:val="false"/>
          <w:color w:val="333333"/>
          <w:sz w:val="20"/>
          <w:szCs w:val="20"/>
        </w:rPr>
        <w:t xml:space="preserve">• FO-SF-122 — FO-SF-0122_Matriz_activos_sujetos_analisis_SENDERO_FUEL.docx</w:t>
      </w:r>
    </w:p>
    <w:p>
      <w:pPr>
        <w:spacing w:after="60" w:before="60" w:line="276"/>
      </w:pPr>
      <w:r>
        <w:rPr>
          <w:rFonts w:ascii="Calibri" w:cs="Calibri" w:eastAsia="Calibri" w:hAnsi="Calibri"/>
          <w:b w:val="false"/>
          <w:bCs w:val="false"/>
          <w:color w:val="333333"/>
          <w:sz w:val="20"/>
          <w:szCs w:val="20"/>
        </w:rPr>
        <w:t xml:space="preserve">• FO-SF-123 — FO-SF-0123_Reporte_resultados_analisis_vulnerabilidades_SENDERO_FUEL.docx</w:t>
      </w:r>
    </w:p>
    <w:p>
      <w:pPr>
        <w:spacing w:after="60" w:before="60" w:line="276"/>
      </w:pPr>
      <w:r>
        <w:rPr>
          <w:rFonts w:ascii="Calibri" w:cs="Calibri" w:eastAsia="Calibri" w:hAnsi="Calibri"/>
          <w:b w:val="false"/>
          <w:bCs w:val="false"/>
          <w:color w:val="333333"/>
          <w:sz w:val="20"/>
          <w:szCs w:val="20"/>
        </w:rPr>
        <w:t xml:space="preserve">• FO-SF-124 — FO-SF-0124_Clasificacion_vulnerabilidades_SENDERO_FUEL.docx</w:t>
      </w:r>
    </w:p>
    <w:p>
      <w:pPr>
        <w:spacing w:after="60" w:before="60" w:line="276"/>
      </w:pPr>
      <w:r>
        <w:rPr>
          <w:rFonts w:ascii="Calibri" w:cs="Calibri" w:eastAsia="Calibri" w:hAnsi="Calibri"/>
          <w:b w:val="false"/>
          <w:bCs w:val="false"/>
          <w:color w:val="333333"/>
          <w:sz w:val="20"/>
          <w:szCs w:val="20"/>
        </w:rPr>
        <w:t xml:space="preserve">• FO-SF-125 — FO-SF-0125_Plan_remediacion_seguimiento_SENDERO_FUEL.docx</w:t>
      </w:r>
    </w:p>
    <w:p>
      <w:pPr>
        <w:spacing w:after="60" w:before="60" w:line="276"/>
      </w:pPr>
      <w:r>
        <w:rPr>
          <w:rFonts w:ascii="Calibri" w:cs="Calibri" w:eastAsia="Calibri" w:hAnsi="Calibri"/>
          <w:b w:val="false"/>
          <w:bCs w:val="false"/>
          <w:color w:val="333333"/>
          <w:sz w:val="20"/>
          <w:szCs w:val="20"/>
        </w:rPr>
        <w:t xml:space="preserve">• FO-SF-126 — FO-SF-0126_Protocolo_pruebas_penetracion_activos_criticos_SENDERO_FUEL.docx</w:t>
      </w:r>
    </w:p>
    <w:p>
      <w:pPr>
        <w:spacing w:after="60" w:before="60" w:line="276"/>
      </w:pPr>
      <w:r>
        <w:rPr>
          <w:rFonts w:ascii="Calibri" w:cs="Calibri" w:eastAsia="Calibri" w:hAnsi="Calibri"/>
          <w:b w:val="false"/>
          <w:bCs w:val="false"/>
          <w:color w:val="333333"/>
          <w:sz w:val="20"/>
          <w:szCs w:val="20"/>
        </w:rPr>
        <w:t xml:space="preserve">• FO-SF-127 — FO-SF-0127_Reporte_resultados_pruebas_penetracion_SENDERO_FUEL.docx</w:t>
      </w:r>
    </w:p>
    <w:p>
      <w:pPr>
        <w:spacing w:after="60" w:before="60" w:line="276"/>
      </w:pPr>
      <w:r>
        <w:rPr>
          <w:rFonts w:ascii="Calibri" w:cs="Calibri" w:eastAsia="Calibri" w:hAnsi="Calibri"/>
          <w:b w:val="false"/>
          <w:bCs w:val="false"/>
          <w:color w:val="333333"/>
          <w:sz w:val="20"/>
          <w:szCs w:val="20"/>
        </w:rPr>
        <w:t xml:space="preserve">• FO-SF-128 — FO-SF-0128_Validacion_remediacion_cierre_SENDERO_FUEL.docx</w:t>
      </w:r>
    </w:p>
    <w:p>
      <w:pPr>
        <w:spacing w:after="60" w:before="60" w:line="276"/>
      </w:pPr>
      <w:r>
        <w:rPr>
          <w:rFonts w:ascii="Calibri" w:cs="Calibri" w:eastAsia="Calibri" w:hAnsi="Calibri"/>
          <w:b w:val="false"/>
          <w:bCs w:val="false"/>
          <w:color w:val="333333"/>
          <w:sz w:val="20"/>
          <w:szCs w:val="20"/>
        </w:rPr>
        <w:t xml:space="preserve">• EV-SF-019 — FO-SF-0054_Solicitud_autorizacion_herramientas_P49_SENDERO_FUEL_LLENO.docx</w:t>
      </w:r>
    </w:p>
    <w:p>
      <w:pPr>
        <w:spacing w:after="60" w:before="60" w:line="276"/>
      </w:pPr>
      <w:r>
        <w:rPr>
          <w:rFonts w:ascii="Calibri" w:cs="Calibri" w:eastAsia="Calibri" w:hAnsi="Calibri"/>
          <w:b w:val="false"/>
          <w:bCs w:val="false"/>
          <w:color w:val="333333"/>
          <w:sz w:val="20"/>
          <w:szCs w:val="20"/>
        </w:rPr>
        <w:t xml:space="preserve">• EV-SF-020 — FO-SF-0055_Registro_maestro_independiente_herramientas_P49_SENDERO_FUEL_LLENO.docx</w:t>
      </w:r>
    </w:p>
    <w:p>
      <w:pPr>
        <w:spacing w:after="60" w:before="60" w:line="276"/>
      </w:pPr>
      <w:r>
        <w:rPr>
          <w:rFonts w:ascii="Calibri" w:cs="Calibri" w:eastAsia="Calibri" w:hAnsi="Calibri"/>
          <w:b w:val="false"/>
          <w:bCs w:val="false"/>
          <w:color w:val="333333"/>
          <w:sz w:val="20"/>
          <w:szCs w:val="20"/>
        </w:rPr>
        <w:t xml:space="preserve">• EV-SF-021 — FO-SF-0056_Bitacora_uso_cierre_herramientas_P49_SENDERO_FUEL_LLENO.docx</w:t>
      </w:r>
    </w:p>
    <w:p>
      <w:pPr>
        <w:spacing w:after="60" w:before="60" w:line="276"/>
      </w:pPr>
      <w:r>
        <w:rPr>
          <w:rFonts w:ascii="Calibri" w:cs="Calibri" w:eastAsia="Calibri" w:hAnsi="Calibri"/>
          <w:b w:val="false"/>
          <w:bCs w:val="false"/>
          <w:color w:val="333333"/>
          <w:sz w:val="20"/>
          <w:szCs w:val="20"/>
        </w:rPr>
        <w:t xml:space="preserve">• EV-SF-101 — ANALISIS FIRMADO FINAL.pdf</w:t>
      </w:r>
    </w:p>
    <w:p>
      <w:pPr>
        <w:spacing w:after="60" w:before="60" w:line="276"/>
      </w:pPr>
      <w:r>
        <w:rPr>
          <w:rFonts w:ascii="Calibri" w:cs="Calibri" w:eastAsia="Calibri" w:hAnsi="Calibri"/>
          <w:b w:val="false"/>
          <w:bCs w:val="false"/>
          <w:color w:val="333333"/>
          <w:sz w:val="20"/>
          <w:szCs w:val="20"/>
        </w:rPr>
        <w:t xml:space="preserve">• EV-SF-102 — ACTA DE HECHOS FIRMADA FINAL.pdf</w:t>
      </w:r>
    </w:p>
    <w:p>
      <w:pPr>
        <w:spacing w:after="60" w:before="60" w:line="276"/>
      </w:pPr>
      <w:r>
        <w:rPr>
          <w:rFonts w:ascii="Calibri" w:cs="Calibri" w:eastAsia="Calibri" w:hAnsi="Calibri"/>
          <w:b w:val="false"/>
          <w:bCs w:val="false"/>
          <w:color w:val="333333"/>
          <w:sz w:val="20"/>
          <w:szCs w:val="20"/>
        </w:rPr>
        <w:t xml:space="preserve">• req_49_PR_SF_023.pdf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 / Puesto</w:t>
            </w:r>
          </w:p>
        </w:tc>
        <w:tc>
          <w:tcPr>
            <w:tcW w:type="dxa" w:w="512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 dentro del procedimiento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CEO / Gerencia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procedimiento, asegurar recursos, validar excepciones de alto impacto, recibir reportes ejecutivos de riesgo y autorizar aceptación de riesgo residual crítico o alto cuando aplique.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Coordinar la gestión de vulnerabilidades, validar el alcance de análisis, autorizar herramientas junto con TI, revisar resultados, clasificar riesgos, dar seguimiento al plan de remediación y conservar evidencia documental.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Área de Tecnología de la Información / Proveedor TI</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Mantener inventario técnico, preparar activos, ejecutar o acompañar escaneos, implementar hardening, parches, cambios de configuración, segmentación, reglas de firewall, actualizaciones y evidencias de cierre.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activo o servicio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criticidad del activo, autorizar ventana de análisis, evaluar impacto operativo, atender hallazgos asignados, aprobar remediaciones y aceptar resultados de revalidación.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Desarrollo / DevOps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Corregir vulnerabilidades de aplicación, dependencias, configuración, CI/CD, secretos, repositorios y despliegues; integrar pruebas de seguridad en el ciclo de liberación.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externo de pruebas / SMARTCONSULTING MÉXICO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Ejecutar análisis o pruebas de penetración autorizadas, respetar alcance, documentar hallazgos, entregar reporte técnico, evidencia de ejecución y recomendaciones de remediación.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Usuarios custodios de equipos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Permitir revisiones de seguridad en equipos asignados, aplicar parches, reportar incidentes y cumplir restricciones de uso relacionadas con el monedero electrónico.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Representante legal / Apoderado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Firmar y rubricar el procedimiento y sus actualizaciones cuando se requiera evidencia formal ante revisión interna o verificación tecnológica.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tipos_de_activos_cubiertos" w:id="1"/>
      <w:r>
        <w:t xml:space="preserve"/>
      </w:r>
      <w:bookmarkEnd w:id="1"/>
      <w:r>
        <w:rPr>
          <w:rFonts w:ascii="Calibri" w:cs="Calibri" w:eastAsia="Calibri" w:hAnsi="Calibri"/>
          <w:b/>
          <w:bCs/>
          <w:color w:val="000000"/>
          <w:sz w:val="28"/>
          <w:szCs w:val="28"/>
        </w:rPr>
        <w:t xml:space="preserve">7. TIPOS DE ACTIVOS CUBIERTOS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Tipo de activo</w:t>
            </w:r>
          </w:p>
        </w:tc>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Ejemplos</w:t>
            </w:r>
          </w:p>
        </w:tc>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Frecuencia mínima sugerida</w:t>
            </w:r>
          </w:p>
        </w:tc>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Consideración de riesgo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Activos críticos del monedero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API, Portal Clientes, ERP, base de datos, QR, autenticación, facturación, consumos y trazabilidad.</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Trimestral y ante cambios mayores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Alta criticidad por impacto operativo, fiscal y de seguridad.</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Infraestructura de red y perímetro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FortiGate, VPN IPSEC, switches, routers, reglas, segmentos de gestión, enlaces con estaciones.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Semestral y ante cambios de red</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Riesgo de exposición, movimiento lateral, acceso remoto no autorizado.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Servidores y plataformas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Producción, QA, desarrollo, DRP, hipervisores VMware, IIS, SQL Server, PostgreSQL, runners.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Trimestral o semestral según criticidad</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Riesgo de servicios expuestos, parches faltantes y configuraciones inseguras.</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Aplicaciones y código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App móvil, backend, portal, dependencias, librerías, repositorios, pipelines.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En cada liberación mayor y mínimo semestral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Riesgo de fallas OWASP, secretos, dependencias vulnerables o endpoints expuestos.</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Equipos de empleados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Laptops, estaciones de trabajo, celulares, equipos de administradores, soporte y desarrollo.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Semestral y al alta/baja/cambio de custodio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Riesgo de malware, credenciales expuestas, cifrado ausente o privilegios excesivos.</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Estaciones y terceros conectados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Equipos de estaciones, proveedores, enlaces, terminales y componentes de integración.</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Anual o conforme contrato/alcance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Riesgo por dependencia de terceros y exposición de interconexiones.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7_lineamientos_generales" w:id="1"/>
      <w:r>
        <w:t xml:space="preserve"/>
      </w:r>
      <w:bookmarkEnd w:id="1"/>
      <w:r>
        <w:rPr>
          <w:rFonts w:ascii="Calibri" w:cs="Calibri" w:eastAsia="Calibri" w:hAnsi="Calibri"/>
          <w:b/>
          <w:bCs/>
          <w:color w:val="000000"/>
          <w:sz w:val="28"/>
          <w:szCs w:val="28"/>
        </w:rPr>
        <w:t xml:space="preserve">8. LINEAMIENTOS GENERALES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análisis de vulnerabilidades deberá estar calendarizado o justificado por evento extraordinario.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inventario de activos sujetos a análisis deberá mantenerse actualizado antes de cada ejecución.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se podrán utilizar herramientas de escaneo, explotación, fuzzing o análisis profundo sin autorización previa</w:t>
      </w:r>
      <w:r>
        <w:rPr>
          <w:rFonts w:ascii="Calibri" w:cs="Calibri" w:eastAsia="Calibri" w:hAnsi="Calibri"/>
          <w:b/>
          <w:bCs/>
          <w:color w:val="333333"/>
          <w:sz w:val="20"/>
          <w:szCs w:val="20"/>
        </w:rPr>
        <w:t xml:space="preserve"> conforme al PR-SF-014 y los formatos FO-SF-0054, FO-SF-0055 y FO-SF-0056.</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análisis deberán ejecutarse dentro del alcance aprobado, sin exceder rangos IP, dominios, aplicaciones, cuentas o ventanas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pruebas de penetración sobre activos críticos deberán contar con reglas de enfrentamiento, autorización expresa, responsables, contactos de emergencia y criterios de suspensión.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hallazgos deberán clasificarse con base en severidad técnica, criticidad del activo, exposición, impacto operativo, impacto fiscal y probabilidad de explotación.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vulnerabilidad deberá contar con responsable, acción correctiva, SLA, evidencia esperada y estatus de seguimiento.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vulnerabilidades críticas o altas deberán informarse de inmediato al Oficial de Seguridad y al responsable del activo.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remediación deberá validarse mediante reescaneo, revisión técnica o evidencia equivalente antes de cerrarse.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aceptación de riesgo residual deberá ser excepcional, justificada, temporal, autorizada y revisable.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resultados técnicos y reportes de vulnerabilidades son información confidencial y deberán resguardarse con acceso restringido.</w:t>
      </w:r>
    </w:p>
    <w:p>
      <w:r>
        <w:t xml:space="preserve"> </w:t>
      </w:r>
    </w:p>
    <w:p>
      <w:pPr>
        <w:pStyle w:val="Heading1"/>
        <w:pBdr>
          <w:bottom w:val="single" w:color="D9D9D9" w:sz="4" w:space="8"/>
        </w:pBdr>
        <w:spacing w:after="200" w:before="400" w:line="240"/>
      </w:pPr>
      <w:bookmarkStart w:name="section_8_procedimiento_operativo" w:id="1"/>
      <w:r>
        <w:t xml:space="preserve"/>
      </w:r>
      <w:bookmarkEnd w:id="1"/>
      <w:r>
        <w:rPr>
          <w:rFonts w:ascii="Calibri" w:cs="Calibri" w:eastAsia="Calibri" w:hAnsi="Calibri"/>
          <w:b/>
          <w:bCs/>
          <w:color w:val="000000"/>
          <w:sz w:val="28"/>
          <w:szCs w:val="28"/>
        </w:rPr>
        <w:t xml:space="preserve">9. PROCEDIMIENTO OPERATIVO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y actualización del inventario</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Oficial de Seguridad y TI actualizan la matriz FO-SF-0122 con todos los activos relacionados con el monedero electrónico, equipos de empleados y equipos de red.</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Cada activo deberá contar, como mínimo, con identificador, nombre, tipo, responsable, ubicación, ambiente, IP/FQDN, sistema operativo o tecnología, criticidad, exposición y relación con el monedero.</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Cuando exista un nuevo activo, cambio de arquitectura, modificación de conectividad, alta de estación, nuevo endpoint o cambio de proveedor, el activo deberá incorporarse a la matriz antes de entrar en operación.</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Los activos no inventariados no deberán quedar excluidos del análisis cuando soporten, administren o protejan procesos del monedero electrónico.</w:t>
      </w:r>
    </w:p>
    <w:p>
      <w:pPr>
        <w:pStyle w:val="Heading2"/>
        <w:spacing w:after="200" w:before="400" w:line="240"/>
        <w:jc w:val="left"/>
      </w:pPr>
      <w:r>
        <w:rPr>
          <w:rFonts w:ascii="Calibri" w:cs="Calibri" w:eastAsia="Calibri" w:hAnsi="Calibri"/>
          <w:b/>
          <w:bCs/>
          <w:color w:val="000000"/>
          <w:sz w:val="20"/>
          <w:szCs w:val="20"/>
        </w:rPr>
        <w:t xml:space="preserve">Calendarización anual</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Oficial de Seguridad elaborará el </w:t>
      </w:r>
      <w:r>
        <w:rPr>
          <w:rFonts w:ascii="Calibri" w:cs="Calibri" w:eastAsia="Calibri" w:hAnsi="Calibri"/>
          <w:b/>
          <w:bCs/>
          <w:color w:val="333333"/>
          <w:sz w:val="20"/>
          <w:szCs w:val="20"/>
        </w:rPr>
        <w:t xml:space="preserve">FO-SF-0120</w:t>
      </w:r>
      <w:r>
        <w:rPr>
          <w:rFonts w:ascii="Calibri" w:cs="Calibri" w:eastAsia="Calibri" w:hAnsi="Calibri"/>
          <w:b w:val="false"/>
          <w:bCs w:val="false"/>
          <w:color w:val="333333"/>
          <w:sz w:val="20"/>
          <w:szCs w:val="20"/>
        </w:rPr>
        <w:t xml:space="preserve"> Calendario anual de análisis de vulnerabilidades, considerando criticidad, exposición, historial de hallazgos y ventanas operativas.</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Mientras no existan operaciones productivas, podrán ejecutarse análisis en horario abierto, previa coordinación con TI y proveedores.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Una vez iniciada la operación productiva, los análisis intrusivos o que puedan afectar disponibilidad se realizarán preferentemente fines de semana después de las 20:00 horas.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Los análisis no intrusivos, autenticados o de código podrán ejecutarse en horarios laborales si no afectan disponibilidad ni integridad de la operación.</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Cualquier análisis fuera de calendario deberá documentarse como revisión extraordinaria por cambio, incidente, auditoría, nueva amenaza, liberación relevante o requerimiento de dirección.</w:t>
      </w:r>
    </w:p>
    <w:p>
      <w:pPr>
        <w:pStyle w:val="Heading2"/>
        <w:spacing w:after="200" w:before="400" w:line="240"/>
        <w:jc w:val="left"/>
      </w:pPr>
      <w:r>
        <w:rPr>
          <w:rFonts w:ascii="Calibri" w:cs="Calibri" w:eastAsia="Calibri" w:hAnsi="Calibri"/>
          <w:b/>
          <w:bCs/>
          <w:color w:val="000000"/>
          <w:sz w:val="20"/>
          <w:szCs w:val="20"/>
        </w:rPr>
        <w:t xml:space="preserve">Autorización de herramientas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Antes de ejecutar herramientas como Nmap, Greenbone/OpenVAS, OWASP ZAP, Nuclei, Trivy, Dependency-Check, Gitleaks, SonarQube, scripts de verificación o cualquier herramienta equivalente, el solicitante deberá llenar </w:t>
      </w:r>
      <w:r>
        <w:rPr>
          <w:rFonts w:ascii="Calibri" w:cs="Calibri" w:eastAsia="Calibri" w:hAnsi="Calibri"/>
          <w:b/>
          <w:bCs/>
          <w:color w:val="333333"/>
          <w:sz w:val="20"/>
          <w:szCs w:val="20"/>
        </w:rPr>
        <w:t xml:space="preserve">FO-SF-0054.</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El Oficial de Seguridad y TI evaluarán objetivo, alcance, privilegios, impacto, controles compensatorios y evidencia esperada.</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La herramienta autorizada se registrará o actualizará en FO-SF-0055, manteniendo un registro independiente del inventario general de software.</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Cada ejecución deberá documentarse en FO-SF-0056, indicando fecha, responsable, activos, comandos o configuración general, evidencia y cierre.</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Si la herramienta permite explotación, evasión de controles, prueba de contraseñas, análisis intrusivo, captura de tráfico o acceso privilegiado, deberá existir autorización reforzada y ventana específica.</w:t>
      </w:r>
    </w:p>
    <w:p>
      <w:pPr>
        <w:pStyle w:val="Heading2"/>
        <w:spacing w:after="200" w:before="400" w:line="240"/>
        <w:jc w:val="left"/>
      </w:pPr>
      <w:r>
        <w:rPr>
          <w:rFonts w:ascii="Calibri" w:cs="Calibri" w:eastAsia="Calibri" w:hAnsi="Calibri"/>
          <w:b/>
          <w:bCs/>
          <w:color w:val="000000"/>
          <w:sz w:val="20"/>
          <w:szCs w:val="20"/>
        </w:rPr>
        <w:t xml:space="preserve">Preparación de la ejecución</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responsable técnico confirma que el alcance, credenciales, contactos, ventanas, respaldos y monitoreo estén definidos antes de iniciar.</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Se valida si el análisis será no autenticado, autenticado, de caja negra, caja gris, de aplicación, infraestructura, código, contenedor, red o endpoint.</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Se notifica a las áreas involucradas cuando exista riesgo de alertas, consumo de recursos, bloqueo de cuentas o afectación de servicios.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En producción se verifica que exista punto de reversa, respaldo o procedimiento de contingencia cuando el análisis pueda modificar o estresar servicios.</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Se documentan restricciones: no denegación de servicio, no extracción de datos reales, no modificación de información productiva, no uso de credenciales fuera del alcance y suspensión inmediata ante afectación.</w:t>
      </w:r>
    </w:p>
    <w:p>
      <w:pPr>
        <w:pStyle w:val="Heading2"/>
        <w:spacing w:after="200" w:before="400" w:line="240"/>
        <w:jc w:val="left"/>
      </w:pPr>
      <w:r>
        <w:rPr>
          <w:rFonts w:ascii="Calibri" w:cs="Calibri" w:eastAsia="Calibri" w:hAnsi="Calibri"/>
          <w:b/>
          <w:bCs/>
          <w:color w:val="000000"/>
          <w:sz w:val="20"/>
          <w:szCs w:val="20"/>
        </w:rPr>
        <w:t xml:space="preserve">Ejecución del análisis de vulnerabilidades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análisis se ejecuta únicamente sobre activos autorizados en </w:t>
      </w:r>
      <w:r>
        <w:rPr>
          <w:rFonts w:ascii="Calibri" w:cs="Calibri" w:eastAsia="Calibri" w:hAnsi="Calibri"/>
          <w:b/>
          <w:bCs/>
          <w:color w:val="333333"/>
          <w:sz w:val="20"/>
          <w:szCs w:val="20"/>
        </w:rPr>
        <w:t xml:space="preserve">FO-SF-0121 y FO-SF-0122</w:t>
      </w:r>
      <w:r>
        <w:rPr>
          <w:rFonts w:ascii="Calibri" w:cs="Calibri" w:eastAsia="Calibri" w:hAnsi="Calibri"/>
          <w:b w:val="false"/>
          <w:bCs w:val="false"/>
          <w:color w:val="333333"/>
          <w:sz w:val="20"/>
          <w:szCs w:val="20"/>
        </w:rPr>
        <w:t xml:space="preserve">.</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Para infraestructura se podrán utilizar herramientas de descubrimiento, puertos, versiones, configuración TLS, exposición de servicios y vulnerabilidades conocidas.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Para aplicaciones web y API se podrán utilizar pruebas OWASP, revisión de cabeceras, autenticación, autorización, rate limiting, CORS, Swagger/OpenAPI, control de sesión y errores.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Para código y dependencias se podrán utilizar análisis estático, revisión de secretos, dependencias vulnerables, contenedores, configuración y pipelines.</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Para equipos de empleados se revisarán parches, EDR/antimalware, cifrado, cuentas privilegiadas, firewall local, configuración segura, software no autorizado y cumplimiento de políticas.</w:t>
      </w:r>
    </w:p>
    <w:p>
      <w:pPr>
        <w:spacing w:line="276"/>
        <w:ind w:left="360" w:hanging="0"/>
        <w:jc w:val="left"/>
      </w:pPr>
      <w:r>
        <w:rPr>
          <w:rFonts w:ascii="Calibri" w:cs="Calibri" w:eastAsia="Calibri" w:hAnsi="Calibri"/>
          <w:sz w:val="20"/>
          <w:szCs w:val="20"/>
        </w:rPr>
        <w:t xml:space="preserve">6.  </w:t>
      </w:r>
      <w:r>
        <w:rPr>
          <w:rFonts w:ascii="Calibri" w:cs="Calibri" w:eastAsia="Calibri" w:hAnsi="Calibri"/>
          <w:b w:val="false"/>
          <w:bCs w:val="false"/>
          <w:color w:val="333333"/>
          <w:sz w:val="20"/>
          <w:szCs w:val="20"/>
        </w:rPr>
        <w:t xml:space="preserve">Para equipos de red se revisarán servicios de administración, SNMP, versiones, ACL, cifrado, reglas expuestas, credenciales por defecto, respaldo de configuración y segmentación.</w:t>
      </w:r>
    </w:p>
    <w:p>
      <w:pPr>
        <w:spacing w:line="276"/>
        <w:ind w:left="360" w:hanging="0"/>
        <w:jc w:val="left"/>
      </w:pPr>
      <w:r>
        <w:rPr>
          <w:rFonts w:ascii="Calibri" w:cs="Calibri" w:eastAsia="Calibri" w:hAnsi="Calibri"/>
          <w:sz w:val="20"/>
          <w:szCs w:val="20"/>
        </w:rPr>
        <w:t xml:space="preserve">7.  </w:t>
      </w:r>
      <w:r>
        <w:rPr>
          <w:rFonts w:ascii="Calibri" w:cs="Calibri" w:eastAsia="Calibri" w:hAnsi="Calibri"/>
          <w:b w:val="false"/>
          <w:bCs w:val="false"/>
          <w:color w:val="333333"/>
          <w:sz w:val="20"/>
          <w:szCs w:val="20"/>
        </w:rPr>
        <w:t xml:space="preserve">Al terminar, se resguardan reportes, logs, capturas, exportaciones y observaciones técnicas en el repositorio de evidencias autorizado</w:t>
      </w:r>
    </w:p>
    <w:p>
      <w:pPr>
        <w:pStyle w:val="Heading2"/>
        <w:spacing w:after="200" w:before="400" w:line="240"/>
        <w:jc w:val="left"/>
      </w:pPr>
      <w:r>
        <w:rPr>
          <w:rFonts w:ascii="Calibri" w:cs="Calibri" w:eastAsia="Calibri" w:hAnsi="Calibri"/>
          <w:b/>
          <w:bCs/>
          <w:color w:val="000000"/>
          <w:sz w:val="20"/>
          <w:szCs w:val="20"/>
        </w:rPr>
        <w:t xml:space="preserve">Clasificación de vulnerabilidades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Oficial de Seguridad revisa los hallazgos y elimina falsos positivos documentando la justificación.</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Cada hallazgo se registra en</w:t>
      </w:r>
      <w:r>
        <w:rPr>
          <w:rFonts w:ascii="Calibri" w:cs="Calibri" w:eastAsia="Calibri" w:hAnsi="Calibri"/>
          <w:b/>
          <w:bCs/>
          <w:color w:val="333333"/>
          <w:sz w:val="20"/>
          <w:szCs w:val="20"/>
        </w:rPr>
        <w:t xml:space="preserve"> FO-SF-0124 </w:t>
      </w:r>
      <w:r>
        <w:rPr>
          <w:rFonts w:ascii="Calibri" w:cs="Calibri" w:eastAsia="Calibri" w:hAnsi="Calibri"/>
          <w:b w:val="false"/>
          <w:bCs w:val="false"/>
          <w:color w:val="333333"/>
          <w:sz w:val="20"/>
          <w:szCs w:val="20"/>
        </w:rPr>
        <w:t xml:space="preserve">con severidad, CVSS o criterio equivalente, activo afectado, descripción, impacto, probabilidad y evidencia.</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La severidad podrá ajustarse considerando exposición pública, datos sensibles, rol del activo, controles compensatorios, facilidad de explotación y afectación a continuidad o cumplimiento fiscal.</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Los hallazgos críticos y altos se notifican de inmediato al responsable del activo y a Gerencia cuando el riesgo lo amerite.</w:t>
      </w:r>
    </w:p>
    <w:p>
      <w:pPr>
        <w:pStyle w:val="Heading2"/>
        <w:spacing w:after="200" w:before="400" w:line="240"/>
        <w:jc w:val="left"/>
      </w:pPr>
      <w:r>
        <w:rPr>
          <w:rFonts w:ascii="Calibri" w:cs="Calibri" w:eastAsia="Calibri" w:hAnsi="Calibri"/>
          <w:b/>
          <w:bCs/>
          <w:color w:val="000000"/>
          <w:sz w:val="20"/>
          <w:szCs w:val="20"/>
        </w:rPr>
        <w:t xml:space="preserve">Registro de resultados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Los resultados se documentan en </w:t>
      </w:r>
      <w:r>
        <w:rPr>
          <w:rFonts w:ascii="Calibri" w:cs="Calibri" w:eastAsia="Calibri" w:hAnsi="Calibri"/>
          <w:b/>
          <w:bCs/>
          <w:color w:val="333333"/>
          <w:sz w:val="20"/>
          <w:szCs w:val="20"/>
        </w:rPr>
        <w:t xml:space="preserve">FO-SF-0123</w:t>
      </w:r>
      <w:r>
        <w:rPr>
          <w:rFonts w:ascii="Calibri" w:cs="Calibri" w:eastAsia="Calibri" w:hAnsi="Calibri"/>
          <w:b w:val="false"/>
          <w:bCs w:val="false"/>
          <w:color w:val="333333"/>
          <w:sz w:val="20"/>
          <w:szCs w:val="20"/>
        </w:rPr>
        <w:t xml:space="preserve">, incluyendo resumen ejecutivo, herramientas utilizadas, alcance, activos evaluados, fecha de ejecución, hallazgos, clasificación y recomendaciones.</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Los reportes técnicos originales de las herramientas deberán conservarse como anexos o evidencia asociada.</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Cuando se trate de prueba de penetración, el reporte se documentará en </w:t>
      </w:r>
      <w:r>
        <w:rPr>
          <w:rFonts w:ascii="Calibri" w:cs="Calibri" w:eastAsia="Calibri" w:hAnsi="Calibri"/>
          <w:b/>
          <w:bCs/>
          <w:color w:val="333333"/>
          <w:sz w:val="20"/>
          <w:szCs w:val="20"/>
        </w:rPr>
        <w:t xml:space="preserve">FO-SF-0127 </w:t>
      </w:r>
      <w:r>
        <w:rPr>
          <w:rFonts w:ascii="Calibri" w:cs="Calibri" w:eastAsia="Calibri" w:hAnsi="Calibri"/>
          <w:b w:val="false"/>
          <w:bCs w:val="false"/>
          <w:color w:val="333333"/>
          <w:sz w:val="20"/>
          <w:szCs w:val="20"/>
        </w:rPr>
        <w:t xml:space="preserve">y deberá incluir metodología, limitaciones, hallazgos, evidencia, impacto y recomendaciones.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Los resultados se consideran confidenciales y se comparten únicamente con responsables autorizados.</w:t>
      </w:r>
    </w:p>
    <w:p>
      <w:pPr>
        <w:pStyle w:val="Heading2"/>
        <w:spacing w:after="200" w:before="400" w:line="240"/>
        <w:jc w:val="left"/>
      </w:pPr>
      <w:r>
        <w:rPr>
          <w:rFonts w:ascii="Calibri" w:cs="Calibri" w:eastAsia="Calibri" w:hAnsi="Calibri"/>
          <w:b/>
          <w:bCs/>
          <w:color w:val="000000"/>
          <w:sz w:val="20"/>
          <w:szCs w:val="20"/>
        </w:rPr>
        <w:t xml:space="preserve">Plan de remediación y seguimiento</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Cada vulnerabilidad confirmada se registra en </w:t>
      </w:r>
      <w:r>
        <w:rPr>
          <w:rFonts w:ascii="Calibri" w:cs="Calibri" w:eastAsia="Calibri" w:hAnsi="Calibri"/>
          <w:b/>
          <w:bCs/>
          <w:color w:val="333333"/>
          <w:sz w:val="20"/>
          <w:szCs w:val="20"/>
        </w:rPr>
        <w:t xml:space="preserve">FO-SF-0125</w:t>
      </w:r>
      <w:r>
        <w:rPr>
          <w:rFonts w:ascii="Calibri" w:cs="Calibri" w:eastAsia="Calibri" w:hAnsi="Calibri"/>
          <w:b w:val="false"/>
          <w:bCs w:val="false"/>
          <w:color w:val="333333"/>
          <w:sz w:val="20"/>
          <w:szCs w:val="20"/>
        </w:rPr>
        <w:t xml:space="preserve"> con responsable, acción correctiva, SLA, prioridad, fecha compromiso y evidencia de cierre esperada.</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El responsable del activo deberá proponer la acción técnica: parche, actualización, hardening, deshabilitación de servicio, cambio de configuración, segmentación, restricción por ACL, rotación de credenciales, actualización de certificado, corrección de código o control compensatorio.</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El Oficial de Seguridad dará seguimiento periódico hasta obtener evidencia de implementación.</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Si el SLA no puede cumplirse, el responsable deberá justificar causa, riesgo residual, medida temporal y nueva fecha compromiso aprobada.</w:t>
      </w:r>
    </w:p>
    <w:p>
      <w:pPr>
        <w:pStyle w:val="Heading2"/>
        <w:spacing w:after="200" w:before="400" w:line="240"/>
        <w:jc w:val="left"/>
      </w:pPr>
      <w:r>
        <w:rPr>
          <w:rFonts w:ascii="Calibri" w:cs="Calibri" w:eastAsia="Calibri" w:hAnsi="Calibri"/>
          <w:b/>
          <w:bCs/>
          <w:color w:val="000000"/>
          <w:sz w:val="20"/>
          <w:szCs w:val="20"/>
        </w:rPr>
        <w:t xml:space="preserve">Validación de remediación y cierre</w:t>
      </w:r>
    </w:p>
    <w:p>
      <w:pPr>
        <w:spacing w:after="120" w:before="0" w:line="276"/>
        <w:jc w:val="left"/>
      </w:pPr>
      <w:r>
        <w:rPr>
          <w:rFonts w:ascii="Calibri" w:cs="Calibri" w:eastAsia="Calibri" w:hAnsi="Calibri"/>
          <w:b w:val="false"/>
          <w:bCs w:val="false"/>
          <w:color w:val="333333"/>
          <w:sz w:val="20"/>
          <w:szCs w:val="20"/>
        </w:rPr>
        <w:t xml:space="preserve">Una vulnerabilidad no podrá cerrarse únicamente con declaración del responsable; deberá contar con evidencia técnica verificable.</w:t>
      </w:r>
    </w:p>
    <w:p>
      <w:pPr>
        <w:spacing w:after="120" w:before="0" w:line="276"/>
        <w:jc w:val="left"/>
      </w:pPr>
      <w:r>
        <w:rPr>
          <w:rFonts w:ascii="Calibri" w:cs="Calibri" w:eastAsia="Calibri" w:hAnsi="Calibri"/>
          <w:b w:val="false"/>
          <w:bCs w:val="false"/>
          <w:color w:val="333333"/>
          <w:sz w:val="20"/>
          <w:szCs w:val="20"/>
        </w:rPr>
        <w:t xml:space="preserve">La validación podrá consistir en reescaneo, prueba puntual, revisión de configuración, captura de política, log, salida de comando, ticket de cambio, reporte actualizado o acta de cierre.</w:t>
      </w:r>
    </w:p>
    <w:p>
      <w:pPr>
        <w:spacing w:after="120" w:before="0" w:line="276"/>
        <w:jc w:val="left"/>
      </w:pPr>
      <w:r>
        <w:rPr>
          <w:rFonts w:ascii="Calibri" w:cs="Calibri" w:eastAsia="Calibri" w:hAnsi="Calibri"/>
          <w:b w:val="false"/>
          <w:bCs w:val="false"/>
          <w:color w:val="333333"/>
          <w:sz w:val="20"/>
          <w:szCs w:val="20"/>
        </w:rPr>
        <w:t xml:space="preserve">El cierre se documentará en FO-SF-0128, indicando resultado de validación, fecha, responsable validador, evidencia y estatus final.</w:t>
      </w:r>
    </w:p>
    <w:p>
      <w:pPr>
        <w:spacing w:after="120" w:before="0" w:line="276"/>
        <w:jc w:val="left"/>
      </w:pPr>
      <w:r>
        <w:rPr>
          <w:rFonts w:ascii="Calibri" w:cs="Calibri" w:eastAsia="Calibri" w:hAnsi="Calibri"/>
          <w:b w:val="false"/>
          <w:bCs w:val="false"/>
          <w:color w:val="333333"/>
          <w:sz w:val="20"/>
          <w:szCs w:val="20"/>
        </w:rPr>
        <w:t xml:space="preserve">Cuando el hallazgo persista, se mantiene abierto, se actualiza el plan de remediación y se reasigna fecha compromiso.</w:t>
      </w:r>
    </w:p>
    <w:p>
      <w:pPr>
        <w:pStyle w:val="Heading2"/>
        <w:spacing w:after="200" w:before="400" w:line="240"/>
        <w:jc w:val="left"/>
      </w:pPr>
      <w:r>
        <w:rPr>
          <w:rFonts w:ascii="Calibri" w:cs="Calibri" w:eastAsia="Calibri" w:hAnsi="Calibri"/>
          <w:b/>
          <w:bCs/>
          <w:color w:val="000000"/>
          <w:sz w:val="20"/>
          <w:szCs w:val="20"/>
        </w:rPr>
        <w:t xml:space="preserve">Aceptación de riesgo residual</w:t>
      </w:r>
    </w:p>
    <w:p>
      <w:pPr>
        <w:spacing w:after="120" w:before="0" w:line="276"/>
        <w:jc w:val="left"/>
      </w:pPr>
      <w:r>
        <w:rPr>
          <w:rFonts w:ascii="Calibri" w:cs="Calibri" w:eastAsia="Calibri" w:hAnsi="Calibri"/>
          <w:b w:val="false"/>
          <w:bCs w:val="false"/>
          <w:color w:val="333333"/>
          <w:sz w:val="20"/>
          <w:szCs w:val="20"/>
        </w:rPr>
        <w:t xml:space="preserve">Cuando una vulnerabilidad no pueda remediarse de inmediato por restricción técnica, contractual, operativa o dependencia de proveedor, podrá someterse a aceptación temporal de riesgo residual.</w:t>
      </w:r>
    </w:p>
    <w:p>
      <w:pPr>
        <w:spacing w:after="120" w:before="0" w:line="276"/>
        <w:jc w:val="left"/>
      </w:pPr>
      <w:r>
        <w:rPr>
          <w:rFonts w:ascii="Calibri" w:cs="Calibri" w:eastAsia="Calibri" w:hAnsi="Calibri"/>
          <w:b w:val="false"/>
          <w:bCs w:val="false"/>
          <w:color w:val="333333"/>
          <w:sz w:val="20"/>
          <w:szCs w:val="20"/>
        </w:rPr>
        <w:t xml:space="preserve">La aceptación deberá incluir justificación, activo afectado, impacto, controles compensatorios, vigencia, responsable y autorización de Gerencia u Oficial de Seguridad según criticidad.</w:t>
      </w:r>
    </w:p>
    <w:p>
      <w:pPr>
        <w:spacing w:after="120" w:before="0" w:line="276"/>
        <w:jc w:val="left"/>
      </w:pPr>
      <w:r>
        <w:rPr>
          <w:rFonts w:ascii="Calibri" w:cs="Calibri" w:eastAsia="Calibri" w:hAnsi="Calibri"/>
          <w:b w:val="false"/>
          <w:bCs w:val="false"/>
          <w:color w:val="333333"/>
          <w:sz w:val="20"/>
          <w:szCs w:val="20"/>
        </w:rPr>
        <w:t xml:space="preserve">Las vulnerabilidades críticas no deberán aceptarse sin control compensatorio y aprobación de alto nivel.</w:t>
      </w:r>
    </w:p>
    <w:p>
      <w:pPr>
        <w:spacing w:after="120" w:before="0" w:line="276"/>
        <w:jc w:val="left"/>
      </w:pPr>
      <w:r>
        <w:rPr>
          <w:rFonts w:ascii="Calibri" w:cs="Calibri" w:eastAsia="Calibri" w:hAnsi="Calibri"/>
          <w:b w:val="false"/>
          <w:bCs w:val="false"/>
          <w:color w:val="333333"/>
          <w:sz w:val="20"/>
          <w:szCs w:val="20"/>
        </w:rPr>
        <w:t xml:space="preserve">Toda aceptación deberá revisarse antes de su vencimiento y no constituye cierre definitivo salvo que se documente la eliminación del riesgo o su reducción a nivel aceptable.</w:t>
      </w:r>
    </w:p>
    <w:p>
      <w:pPr>
        <w:pStyle w:val="Heading2"/>
        <w:spacing w:after="200" w:before="400" w:line="240"/>
        <w:jc w:val="left"/>
      </w:pPr>
      <w:r>
        <w:rPr>
          <w:rFonts w:ascii="Calibri" w:cs="Calibri" w:eastAsia="Calibri" w:hAnsi="Calibri"/>
          <w:b/>
          <w:bCs/>
          <w:color w:val="000000"/>
          <w:sz w:val="20"/>
          <w:szCs w:val="20"/>
        </w:rPr>
        <w:t xml:space="preserve">Pruebas de penetración para activos críticos</w:t>
      </w:r>
    </w:p>
    <w:p>
      <w:pPr>
        <w:spacing w:after="120" w:before="0" w:line="276"/>
        <w:jc w:val="left"/>
      </w:pPr>
      <w:r>
        <w:rPr>
          <w:rFonts w:ascii="Calibri" w:cs="Calibri" w:eastAsia="Calibri" w:hAnsi="Calibri"/>
          <w:b w:val="false"/>
          <w:bCs w:val="false"/>
          <w:color w:val="333333"/>
          <w:sz w:val="20"/>
          <w:szCs w:val="20"/>
        </w:rPr>
        <w:t xml:space="preserve">Los activos críticos del monedero electrónico deberán someterse a pruebas de penetración de forma programada y ante cambios relevantes de arquitectura, exposición pública o funcionalidad crítica.</w:t>
      </w:r>
    </w:p>
    <w:p>
      <w:pPr>
        <w:spacing w:after="120" w:before="0" w:line="276"/>
        <w:jc w:val="left"/>
      </w:pPr>
      <w:r>
        <w:rPr>
          <w:rFonts w:ascii="Calibri" w:cs="Calibri" w:eastAsia="Calibri" w:hAnsi="Calibri"/>
          <w:b w:val="false"/>
          <w:bCs w:val="false"/>
          <w:color w:val="333333"/>
          <w:sz w:val="20"/>
          <w:szCs w:val="20"/>
        </w:rPr>
        <w:t xml:space="preserve">Antes de ejecutar la prueba se deberá completar</w:t>
      </w:r>
      <w:r>
        <w:rPr>
          <w:rFonts w:ascii="Calibri" w:cs="Calibri" w:eastAsia="Calibri" w:hAnsi="Calibri"/>
          <w:b/>
          <w:bCs/>
          <w:color w:val="333333"/>
          <w:sz w:val="20"/>
          <w:szCs w:val="20"/>
        </w:rPr>
        <w:t xml:space="preserve"> FO-SF-0126</w:t>
      </w:r>
      <w:r>
        <w:rPr>
          <w:rFonts w:ascii="Calibri" w:cs="Calibri" w:eastAsia="Calibri" w:hAnsi="Calibri"/>
          <w:b w:val="false"/>
          <w:bCs w:val="false"/>
          <w:color w:val="333333"/>
          <w:sz w:val="20"/>
          <w:szCs w:val="20"/>
        </w:rPr>
        <w:t xml:space="preserve"> con alcance, reglas de enfrentamiento, exclusiones, horarios, contactos, criterios de suspensión y autorización.</w:t>
      </w:r>
    </w:p>
    <w:p>
      <w:pPr>
        <w:spacing w:after="120" w:before="0" w:line="276"/>
        <w:jc w:val="left"/>
      </w:pPr>
      <w:r>
        <w:rPr>
          <w:rFonts w:ascii="Calibri" w:cs="Calibri" w:eastAsia="Calibri" w:hAnsi="Calibri"/>
          <w:b w:val="false"/>
          <w:bCs w:val="false"/>
          <w:color w:val="333333"/>
          <w:sz w:val="20"/>
          <w:szCs w:val="20"/>
        </w:rPr>
        <w:t xml:space="preserve">La ejecución deberá evitar afectación productiva no autorizada, extracción innecesaria de datos, persistencia, modificación de saldos, manipulación de consumos o alteración de evidencias fiscales.</w:t>
      </w:r>
    </w:p>
    <w:p>
      <w:pPr>
        <w:spacing w:after="120" w:before="0" w:line="276"/>
        <w:jc w:val="left"/>
      </w:pPr>
      <w:r>
        <w:rPr>
          <w:rFonts w:ascii="Calibri" w:cs="Calibri" w:eastAsia="Calibri" w:hAnsi="Calibri"/>
          <w:b w:val="false"/>
          <w:bCs w:val="false"/>
          <w:color w:val="333333"/>
          <w:sz w:val="20"/>
          <w:szCs w:val="20"/>
        </w:rPr>
        <w:t xml:space="preserve">Los resultados se registrarán en</w:t>
      </w:r>
      <w:r>
        <w:rPr>
          <w:rFonts w:ascii="Calibri" w:cs="Calibri" w:eastAsia="Calibri" w:hAnsi="Calibri"/>
          <w:b/>
          <w:bCs/>
          <w:color w:val="333333"/>
          <w:sz w:val="20"/>
          <w:szCs w:val="20"/>
        </w:rPr>
        <w:t xml:space="preserve"> FO-SF-0127 y se integrarán al FO-SF-0125</w:t>
      </w:r>
      <w:r>
        <w:rPr>
          <w:rFonts w:ascii="Calibri" w:cs="Calibri" w:eastAsia="Calibri" w:hAnsi="Calibri"/>
          <w:b w:val="false"/>
          <w:bCs w:val="false"/>
          <w:color w:val="333333"/>
          <w:sz w:val="20"/>
          <w:szCs w:val="20"/>
        </w:rPr>
        <w:t xml:space="preserve"> para seguimiento de remediación.</w:t>
      </w:r>
    </w:p>
    <w:p>
      <w:pPr>
        <w:spacing w:after="120" w:before="0" w:line="276"/>
        <w:jc w:val="left"/>
      </w:pPr>
      <w:r>
        <w:rPr>
          <w:rFonts w:ascii="Calibri" w:cs="Calibri" w:eastAsia="Calibri" w:hAnsi="Calibri"/>
          <w:b w:val="false"/>
          <w:bCs w:val="false"/>
          <w:color w:val="333333"/>
          <w:sz w:val="20"/>
          <w:szCs w:val="20"/>
        </w:rPr>
        <w:t xml:space="preserve">El cierre técnico se validará mediante </w:t>
      </w:r>
      <w:r>
        <w:rPr>
          <w:rFonts w:ascii="Calibri" w:cs="Calibri" w:eastAsia="Calibri" w:hAnsi="Calibri"/>
          <w:b/>
          <w:bCs/>
          <w:color w:val="333333"/>
          <w:sz w:val="20"/>
          <w:szCs w:val="20"/>
        </w:rPr>
        <w:t xml:space="preserve">FO-SF-0128</w:t>
      </w:r>
      <w:r>
        <w:rPr>
          <w:rFonts w:ascii="Calibri" w:cs="Calibri" w:eastAsia="Calibri" w:hAnsi="Calibri"/>
          <w:b w:val="false"/>
          <w:bCs w:val="false"/>
          <w:color w:val="333333"/>
          <w:sz w:val="20"/>
          <w:szCs w:val="20"/>
        </w:rPr>
        <w:t xml:space="preserve">.</w:t>
      </w:r>
    </w:p>
    <w:p>
      <w:pPr>
        <w:pStyle w:val="Heading2"/>
        <w:spacing w:after="200" w:before="400" w:line="240"/>
        <w:jc w:val="left"/>
      </w:pPr>
      <w:r>
        <w:rPr>
          <w:rFonts w:ascii="Calibri" w:cs="Calibri" w:eastAsia="Calibri" w:hAnsi="Calibri"/>
          <w:b/>
          <w:bCs/>
          <w:color w:val="000000"/>
          <w:sz w:val="20"/>
          <w:szCs w:val="20"/>
        </w:rPr>
        <w:t xml:space="preserve">Reporte ejecutivo y comunicación</w:t>
      </w:r>
    </w:p>
    <w:p>
      <w:pPr>
        <w:spacing w:after="120" w:before="0" w:line="276"/>
        <w:jc w:val="left"/>
      </w:pPr>
      <w:r>
        <w:rPr>
          <w:rFonts w:ascii="Calibri" w:cs="Calibri" w:eastAsia="Calibri" w:hAnsi="Calibri"/>
          <w:b w:val="false"/>
          <w:bCs w:val="false"/>
          <w:color w:val="333333"/>
          <w:sz w:val="20"/>
          <w:szCs w:val="20"/>
        </w:rPr>
        <w:t xml:space="preserve">El Oficial de Seguridad consolidará resultados por periodo, severidad, activo, responsable, SLA y estatus.</w:t>
      </w:r>
    </w:p>
    <w:p>
      <w:pPr>
        <w:spacing w:after="120" w:before="0" w:line="276"/>
        <w:jc w:val="left"/>
      </w:pPr>
      <w:r>
        <w:rPr>
          <w:rFonts w:ascii="Calibri" w:cs="Calibri" w:eastAsia="Calibri" w:hAnsi="Calibri"/>
          <w:b w:val="false"/>
          <w:bCs w:val="false"/>
          <w:color w:val="333333"/>
          <w:sz w:val="20"/>
          <w:szCs w:val="20"/>
        </w:rPr>
        <w:t xml:space="preserve">Gerencia recibirá un resumen ejecutivo con vulnerabilidades críticas/altas, tendencias, riesgos pendientes y necesidades de recursos.</w:t>
      </w:r>
    </w:p>
    <w:p>
      <w:pPr>
        <w:spacing w:after="120" w:before="0" w:line="276"/>
        <w:jc w:val="left"/>
      </w:pPr>
      <w:r>
        <w:rPr>
          <w:rFonts w:ascii="Calibri" w:cs="Calibri" w:eastAsia="Calibri" w:hAnsi="Calibri"/>
          <w:b w:val="false"/>
          <w:bCs w:val="false"/>
          <w:color w:val="333333"/>
          <w:sz w:val="20"/>
          <w:szCs w:val="20"/>
        </w:rPr>
        <w:t xml:space="preserve">No se compartirán detalles técnicos de explotación fuera de los responsables autorizados.</w:t>
      </w:r>
    </w:p>
    <w:p>
      <w:pPr>
        <w:spacing w:after="120" w:before="0" w:line="276"/>
        <w:jc w:val="left"/>
      </w:pPr>
      <w:r>
        <w:rPr>
          <w:rFonts w:ascii="Calibri" w:cs="Calibri" w:eastAsia="Calibri" w:hAnsi="Calibri"/>
          <w:b w:val="false"/>
          <w:bCs w:val="false"/>
          <w:color w:val="333333"/>
          <w:sz w:val="20"/>
          <w:szCs w:val="20"/>
        </w:rPr>
        <w:t xml:space="preserve">Cuando un hallazgo represente incidente de seguridad, se activará el procedimiento de atención de incidentes correspondiente.</w:t>
      </w:r>
    </w:p>
    <w:p>
      <w:r>
        <w:t xml:space="preserve"> </w:t>
      </w:r>
    </w:p>
    <w:p>
      <w:pPr>
        <w:pStyle w:val="Heading1"/>
        <w:pBdr>
          <w:bottom w:val="single" w:color="D9D9D9" w:sz="4" w:space="8"/>
        </w:pBdr>
        <w:spacing w:after="200" w:before="400" w:line="240"/>
      </w:pPr>
      <w:bookmarkStart w:name="section_9_criterios_de_clasificacion_y_tiempos_de_remediacion" w:id="1"/>
      <w:r>
        <w:t xml:space="preserve"/>
      </w:r>
      <w:bookmarkEnd w:id="1"/>
      <w:r>
        <w:rPr>
          <w:rFonts w:ascii="Calibri" w:cs="Calibri" w:eastAsia="Calibri" w:hAnsi="Calibri"/>
          <w:b/>
          <w:bCs/>
          <w:color w:val="000000"/>
          <w:sz w:val="28"/>
          <w:szCs w:val="28"/>
        </w:rPr>
        <w:t xml:space="preserve">10. CRITERIOS DE CLASIFICACIÓN Y TIEMPOS DE REMEDIACIÓN</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Severidad</w:t>
            </w:r>
          </w:p>
        </w:tc>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Criterio general</w:t>
            </w:r>
          </w:p>
        </w:tc>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SLA máximo sugerido</w:t>
            </w:r>
          </w:p>
        </w:tc>
        <w:tc>
          <w:tcPr>
            <w:tcW w:type="dxa" w:w="2560"/>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Escalamiento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Crítica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Explotación probable o confirmada, exposición pública, acceso no autorizado, ejecución remota, afectación a información fiscal, saldos, QR, consumos o continuidad crítica.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72 horas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 Gerencia y responsable del 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Vulnerabilidad explotable con impacto alto, servicio sensible expuesto, credenciales, administración remota insegura, ausencia de control clave o componente crítico desactualizado.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15 días naturales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 y responsable del 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Media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Debilidad relevante con explotación condicionada, configuración insegura, versión vulnerable no crítica, cabeceras ausentes, segmentación parcial o control incompleto.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30 días naturales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activo y TI.</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Baja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Riesgo limitado, mejora de hardening, exposición menor, información no sensible o recomendación de configuración.</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60 días naturales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Informativa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Observación técnica, mejora preventiva o buena práctica sin riesgo inmediato identificado.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90 días o plan de mejora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Seguimiento ordinario.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0_indicadores_de_cumplimiento" w:id="1"/>
      <w:r>
        <w:t xml:space="preserve"/>
      </w:r>
      <w:bookmarkEnd w:id="1"/>
      <w:r>
        <w:rPr>
          <w:rFonts w:ascii="Calibri" w:cs="Calibri" w:eastAsia="Calibri" w:hAnsi="Calibri"/>
          <w:b/>
          <w:bCs/>
          <w:color w:val="000000"/>
          <w:sz w:val="28"/>
          <w:szCs w:val="28"/>
        </w:rPr>
        <w:t xml:space="preserve">11. INDICADORES DE CUMPLIMIENTO</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Indicador</w:t>
            </w:r>
          </w:p>
        </w:tc>
        <w:tc>
          <w:tcPr>
            <w:tcW w:type="dxa" w:w="3413"/>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Forma de medición</w:t>
            </w:r>
          </w:p>
        </w:tc>
        <w:tc>
          <w:tcPr>
            <w:tcW w:type="dxa" w:w="3414"/>
            <w:shd w:fill="2f5e9f"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Meta sugerida</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Cobertura de activos</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Activos analizados / activos sujetos a análisis en FO-SF-0122.</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 95% por ciclo.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Cumplimiento de calendario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Análisis ejecutados / análisis programados en FO-SF-0120.</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 90% anual.</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Cierre en SLA</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Hallazgos cerrados dentro de SLA / hallazgos cerrados.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 85%.</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Vulnerabilidades críticas abiertas</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Número de vulnerabilidades críticas vencidas.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0.</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Reincidencia</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Hallazgos repetidos por activo o causa raíz.</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Tendencia decreciente.</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Validación de cierre</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Hallazgos cerrados con evidencia validada / hallazgos cerrados.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100%.</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1_incumplimientos_y_excepciones" w:id="1"/>
      <w:r>
        <w:t xml:space="preserve"/>
      </w:r>
      <w:bookmarkEnd w:id="1"/>
      <w:r>
        <w:rPr>
          <w:rFonts w:ascii="Calibri" w:cs="Calibri" w:eastAsia="Calibri" w:hAnsi="Calibri"/>
          <w:b/>
          <w:bCs/>
          <w:color w:val="000000"/>
          <w:sz w:val="28"/>
          <w:szCs w:val="28"/>
        </w:rPr>
        <w:t xml:space="preserve">12. INCUMPLIMIENTOS Y EXCEPCIONES</w:t>
      </w:r>
    </w:p>
    <w:p>
      <w:r>
        <w:rPr>
          <w:sz w:val="2"/>
          <w:szCs w:val="2"/>
        </w:rPr>
        <w:t xml:space="preserve"/>
      </w:r>
    </w:p>
    <w:p>
      <w:pPr>
        <w:spacing w:after="120" w:before="0" w:line="257"/>
        <w:jc w:val="left"/>
      </w:pPr>
      <w:r>
        <w:rPr>
          <w:rFonts w:ascii="Calibri" w:cs="Calibri" w:eastAsia="Calibri" w:hAnsi="Calibri"/>
          <w:b w:val="false"/>
          <w:bCs w:val="false"/>
          <w:color w:val="333333"/>
          <w:sz w:val="20"/>
          <w:szCs w:val="20"/>
        </w:rPr>
        <w:t xml:space="preserve">Se considerará incumplimiento del procedimiento: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Ejecutar análisis o pruebas sin autorización formal.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Analizar activos fuera del alcance aprobado.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registrar herramientas en el padrón independiente cuando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documentar resultados, evidencias, hallazgos o cierre.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Cerrar vulnerabilidades sin evidencia técnica suficiente.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atender vulnerabilidades críticas o altas dentro del SLA sin justificación y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Omitir el reporte de hallazgos críticos, incidentes o afectaciones al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Compartir reportes técnicos con terceros no autorizados.</w:t>
      </w:r>
    </w:p>
    <w:p>
      <w:pPr>
        <w:spacing w:after="120" w:before="0" w:line="257"/>
        <w:jc w:val="both"/>
      </w:pPr>
      <w:r>
        <w:rPr>
          <w:rFonts w:ascii="Calibri" w:cs="Calibri" w:eastAsia="Calibri" w:hAnsi="Calibri"/>
          <w:b w:val="false"/>
          <w:bCs w:val="false"/>
          <w:color w:val="333333"/>
          <w:sz w:val="20"/>
          <w:szCs w:val="20"/>
        </w:rPr>
        <w:t xml:space="preserve">Toda excepción deberá documentarse por escrito, indicar motivo, vigencia, controles compensatorios, responsable, riesgo residual y autorización correspondiente. Las excepciones vencidas deberán considerarse vencimiento de control y registrarse como observación de seguridad.</w:t>
      </w:r>
    </w:p>
    <w:p>
      <w:r>
        <w:t xml:space="preserve"> </w:t>
      </w:r>
    </w:p>
    <w:p>
      <w:pPr>
        <w:pStyle w:val="Heading1"/>
        <w:pBdr>
          <w:bottom w:val="single" w:color="D9D9D9" w:sz="4" w:space="8"/>
        </w:pBdr>
        <w:spacing w:after="200" w:before="400" w:line="240"/>
      </w:pPr>
      <w:bookmarkStart w:name="section_12_periodicidad_de_revision" w:id="1"/>
      <w:r>
        <w:t xml:space="preserve"/>
      </w:r>
      <w:bookmarkEnd w:id="1"/>
      <w:r>
        <w:rPr>
          <w:rFonts w:ascii="Calibri" w:cs="Calibri" w:eastAsia="Calibri" w:hAnsi="Calibri"/>
          <w:b/>
          <w:bCs/>
          <w:color w:val="000000"/>
          <w:sz w:val="28"/>
          <w:szCs w:val="28"/>
        </w:rPr>
        <w:t xml:space="preserve">13.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3_glosario" w:id="1"/>
      <w:r>
        <w:rPr>
          <w:rFonts w:ascii="Calibri" w:cs="Calibri" w:eastAsia="Calibri" w:hAnsi="Calibri"/>
          <w:b/>
          <w:bCs/>
          <w:color w:val="000000"/>
          <w:sz w:val="28"/>
          <w:szCs w:val="28"/>
        </w:rPr>
        <w:t xml:space="preserve">14.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gestión de vulnerabilidades técnicas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29/6/2026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15/9/2026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gestión de vulnerabilidades técnicas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29/6/2026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15/9/2026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la gestin de vulnerabilidades tcnicas</dc:title>
  <dc:subject>Proceso</dc:subject>
  <dc:creator>Administrador MAPLINKS</dc:creator>
  <cp:keywords>PR-SF-023</cp:keywords>
  <dc:description>Documento PR-SF-023</dc:description>
  <cp:lastModifiedBy>Administrador MAPLINKS</cp:lastModifiedBy>
  <cp:revision>1</cp:revision>
  <dcterms:created xsi:type="dcterms:W3CDTF">2026-09-30T21:33:45.072Z</dcterms:created>
  <dcterms:modified xsi:type="dcterms:W3CDTF">2026-09-30T21:33:45.072Z</dcterms:modified>
</cp:coreProperties>
</file>

<file path=docProps/custom.xml><?xml version="1.0" encoding="utf-8"?>
<Properties xmlns="http://schemas.openxmlformats.org/officeDocument/2006/custom-properties" xmlns:vt="http://schemas.openxmlformats.org/officeDocument/2006/docPropsVTypes"/>
</file>