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7048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ergo_logo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134A9C"/>
          <w:sz w:val="28"/>
        </w:rPr>
        <w:t>FO-SF-127</w:t>
      </w:r>
    </w:p>
    <w:p>
      <w:pPr>
        <w:jc w:val="center"/>
      </w:pPr>
      <w:r>
        <w:rPr>
          <w:rFonts w:ascii="Calibri" w:hAnsi="Calibri"/>
          <w:b/>
          <w:color w:val="0A2A66"/>
          <w:sz w:val="32"/>
        </w:rPr>
        <w:t>Reporte de resultados de pruebas de penetración</w:t>
      </w:r>
    </w:p>
    <w:p>
      <w:pPr>
        <w:jc w:val="center"/>
      </w:pPr>
      <w:r>
        <w:rPr>
          <w:rFonts w:ascii="Calibri" w:hAnsi="Calibri"/>
          <w:color w:val="646464"/>
          <w:sz w:val="20"/>
        </w:rPr>
        <w:t>Punto 49 del Anexo 10 RMF 2026 | Monedero electrónico de combustibles</w:t>
      </w:r>
    </w:p>
    <w:p/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Empresa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SENDERO FUEL S.A. DE C.V.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Fecha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29/06/2026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Área responsable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 / TI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Versión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1.0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Código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FO-SF-127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Estatus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Preoperativo / controlado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Elaboró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Seguridad de la Información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Revisó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TI / Control Interno</w:t>
            </w:r>
          </w:p>
        </w:tc>
      </w:tr>
      <w:tr>
        <w:tc>
          <w:tcPr>
            <w:tcW w:type="dxa" w:w="2016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Referencia</w:t>
            </w:r>
          </w:p>
        </w:tc>
        <w:tc>
          <w:tcPr>
            <w:tcW w:type="dxa" w:w="403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PR-SF-014; documentación técnica integral del monedero; reporte SF-P49</w:t>
            </w:r>
          </w:p>
        </w:tc>
        <w:tc>
          <w:tcPr>
            <w:tcW w:type="dxa" w:w="1584"/>
            <w:vAlign w:val="top"/>
            <w:shd w:fill="F2F2F2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/>
                <w:sz w:val="16"/>
              </w:rPr>
              <w:t>Producto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6"/>
              </w:rPr>
            </w:r>
            <w:r>
              <w:rPr>
                <w:rFonts w:ascii="Calibri" w:hAnsi="Calibri"/>
                <w:b w:val="0"/>
                <w:sz w:val="16"/>
              </w:rPr>
              <w:t>Monedero electrónico de combustibles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Resumen de pruebas ejecutadas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24"/>
        <w:gridCol w:w="2424"/>
        <w:gridCol w:w="2424"/>
        <w:gridCol w:w="2424"/>
        <w:gridCol w:w="2424"/>
        <w:gridCol w:w="2424"/>
      </w:tblGrid>
      <w:tr>
        <w:trPr>
          <w:tblHeader w:val="true"/>
        </w:trPr>
        <w:tc>
          <w:tcPr>
            <w:tcW w:type="dxa" w:w="144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Código prueba</w:t>
            </w:r>
          </w:p>
        </w:tc>
        <w:tc>
          <w:tcPr>
            <w:tcW w:type="dxa" w:w="244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</w:t>
            </w:r>
          </w:p>
        </w:tc>
        <w:tc>
          <w:tcPr>
            <w:tcW w:type="dxa" w:w="316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Vector evaluado</w:t>
            </w:r>
          </w:p>
        </w:tc>
        <w:tc>
          <w:tcPr>
            <w:tcW w:type="dxa" w:w="4608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Resultado</w:t>
            </w:r>
          </w:p>
        </w:tc>
        <w:tc>
          <w:tcPr>
            <w:tcW w:type="dxa" w:w="1296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Sev. máxima</w:t>
            </w:r>
          </w:p>
        </w:tc>
        <w:tc>
          <w:tcPr>
            <w:tcW w:type="dxa" w:w="288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Evidencia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PT-01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Descubrimiento web/API, headers y rutas.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 identificaron headers de seguridad faltantes y exposición de diagnóstico en QA.</w:t>
            </w:r>
          </w:p>
        </w:tc>
        <w:tc>
          <w:tcPr>
            <w:tcW w:type="dxa" w:w="1296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ZAP/Nuclei; SF49-PT-002, SF49-PT-003.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PT-02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Login / OTP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Rate limit, reenvío OTP, recuperación y bloqueo progresivo.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 observó rate limiting no uniforme entre endpoints.</w:t>
            </w:r>
          </w:p>
        </w:tc>
        <w:tc>
          <w:tcPr>
            <w:tcW w:type="dxa" w:w="1296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Pruebas controladas; SF49-PT-007.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PT-03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FortiGate / VPN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Exposición de administración y restricciones por IP.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Interfaz administrativa accesible desde segmentos amplios.</w:t>
            </w:r>
          </w:p>
        </w:tc>
        <w:tc>
          <w:tcPr>
            <w:tcW w:type="dxa" w:w="1296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Nmap/revisión configuración; SF49-PT-001.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PT-04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Switches / red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SNMP, banners, puertos y gestión.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SNMP v2c/comunidad débil pendiente de endurecimiento.</w:t>
            </w:r>
          </w:p>
        </w:tc>
        <w:tc>
          <w:tcPr>
            <w:tcW w:type="dxa" w:w="1296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OpenVAS/Nmap; SF49-PT-004.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PT-05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NAS / archivos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Permisos SMB y firma.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Compartidos con permisos amplios y firma SMB no requerida.</w:t>
            </w:r>
          </w:p>
        </w:tc>
        <w:tc>
          <w:tcPr>
            <w:tcW w:type="dxa" w:w="1296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OpenVAS/revisión ACL; SF49-PT-005.</w:t>
            </w:r>
          </w:p>
        </w:tc>
      </w:tr>
      <w:tr>
        <w:trPr>
          <w:cantSplit/>
        </w:trPr>
        <w:tc>
          <w:tcPr>
            <w:tcW w:type="dxa" w:w="144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PT-06</w:t>
            </w:r>
          </w:p>
        </w:tc>
        <w:tc>
          <w:tcPr>
            <w:tcW w:type="dxa" w:w="244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/ CI-CD</w:t>
            </w:r>
          </w:p>
        </w:tc>
        <w:tc>
          <w:tcPr>
            <w:tcW w:type="dxa" w:w="316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Secretos y dependencias.</w:t>
            </w:r>
          </w:p>
        </w:tc>
        <w:tc>
          <w:tcPr>
            <w:tcW w:type="dxa" w:w="4608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Evidencia incompleta de rotación y escaneo de secretos.</w:t>
            </w:r>
          </w:p>
        </w:tc>
        <w:tc>
          <w:tcPr>
            <w:tcW w:type="dxa" w:w="1296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288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Gitleaks/Trivy; SF49-PT-012.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Hallazgos de pentest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ID</w:t>
            </w:r>
          </w:p>
        </w:tc>
        <w:tc>
          <w:tcPr>
            <w:tcW w:type="dxa" w:w="230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Activo</w:t>
            </w:r>
          </w:p>
        </w:tc>
        <w:tc>
          <w:tcPr>
            <w:tcW w:type="dxa" w:w="864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Sev.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Hallazgo validado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Impacto</w:t>
            </w:r>
          </w:p>
        </w:tc>
        <w:tc>
          <w:tcPr>
            <w:tcW w:type="dxa" w:w="4320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Recomendación</w:t>
            </w:r>
          </w:p>
        </w:tc>
        <w:tc>
          <w:tcPr>
            <w:tcW w:type="dxa" w:w="1152"/>
            <w:vAlign w:val="top"/>
            <w:shd w:fill="1F4E79"/>
          </w:tcPr>
          <w:p>
            <w:pPr>
              <w:spacing w:after="0"/>
              <w:jc w:val="center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Estatus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SF49-PT-001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FW-FG200F-03 / FW-FTNET-NGX-01</w:t>
            </w:r>
          </w:p>
        </w:tc>
        <w:tc>
          <w:tcPr>
            <w:tcW w:type="dxa" w:w="864"/>
            <w:vAlign w:val="top"/>
            <w:shd w:fill="F4CC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Crítica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Interfaz administrativa accesible desde segmentos amplios de red interna/VPN, sin restricción granular por IP administrativa y sin evidencia de MFA obligatorio.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Posible toma de control de firewall, modificación de reglas, pérdida de disponibilidad o exposición de tráfico del monedero.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Limitar administración a red de gestión, activar MFA, restringir por ACL, deshabilitar administración por WAN/VPN general y registrar accesos.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SF49-PT-002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SRV-MON-APP-QA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Swagger/OpenAPI y paneles de diagnóstico accesibles en QA sin restricción suficiente.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Divulgación de rutas, modelos, parámetros y endpoints útiles para abuso de API.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Restringir por IP/VPN administrativa, requerir autenticación, desactivar en producción y limitar información de errores.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SF49-PT-003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SRV-MON-SER-QA / Portal Clientes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Faltan headers de seguridad: Content-Security-Policy, Strict-Transport-Security, X-Frame-Options o Referrer-Policy.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Aumenta riesgo de clickjacking, downgrade, fuga de referencia y ataques de navegador.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Configurar headers en IIS/reverse proxy, validar con ZAP/Nuclei y documentar baseline seguro.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SF49-PT-004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SW-ARUBA-2930 / SW-HP-NGX-01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SNMP v2c habilitado o comunidad débil en equipos de red.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Obtención de información de red, interfaces, rutas y configuración; posible abuso por actores internos.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Migrar a SNMPv3, cambiar comunidades, restringir por ACL y registrar consultas.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SF49-PT-005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SRV-NAS-APP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Compartidos SMB con permisos amplios y firma SMB no requerida.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Acceso no autorizado a paquetes, respaldos o archivos de aplicación; riesgo de alteración o ransomware.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Aplicar mínimo privilegio, grupos nominativos, SMB signing, auditoría de accesos y segregación de red.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SF49-PT-006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SRV-MON-DB-DV / SRV-MON-DB-QA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Puertos de base de datos accesibles desde segmentos no administrativos y sin lista blanca estricta.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fuerza bruta, enumeración, extracción de datos de prueba y movimiento lateral.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Aplicar firewall local, ACL por host autorizado, cuentas de servicio con mínimos privilegios y monitoreo de intentos fallidos.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SF49-PT-007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Portal Clientes / API OTP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Rate limiting no uniforme en endpoints de login, recuperación y reenvío OTP.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Abuso de OTP, enumeración de usuarios o consumo de mensajería.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Aplicar límites por IP, usuario, dispositivo y ventana temporal; bloqueo progresivo y alertas.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SF49-PT-011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Estaciones afiliadas / equipos de dispensario</w:t>
            </w:r>
          </w:p>
        </w:tc>
        <w:tc>
          <w:tcPr>
            <w:tcW w:type="dxa" w:w="864"/>
            <w:vAlign w:val="top"/>
            <w:shd w:fill="FCE4D6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Alta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Equipos de estación con credenciales por defecto o contraseñas compartidas en componentes auxiliares.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manipulación de autorización, tickets o comunicación con el backend del monedero.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Eliminar usuarios por defecto, credenciales únicas por estación, MFA donde aplique y revisión de configuración por proveedor.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  <w:tr>
        <w:trPr>
          <w:cantSplit/>
        </w:trPr>
        <w:tc>
          <w:tcPr>
            <w:tcW w:type="dxa" w:w="1152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SF49-PT-012</w:t>
            </w:r>
          </w:p>
        </w:tc>
        <w:tc>
          <w:tcPr>
            <w:tcW w:type="dxa" w:w="2304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Repositorios / CI-CD</w:t>
            </w:r>
          </w:p>
        </w:tc>
        <w:tc>
          <w:tcPr>
            <w:tcW w:type="dxa" w:w="864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Media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Variables, tokens o cadenas de conexión sin rotación documentada; evidencia incompleta de escaneo de secretos.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Riesgo de fuga de credenciales y despliegues no autorizados.</w:t>
            </w:r>
          </w:p>
        </w:tc>
        <w:tc>
          <w:tcPr>
            <w:tcW w:type="dxa" w:w="4320"/>
            <w:vAlign w:val="top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Usar vault/secret manager, rotación programada, Gitleaks en pipeline y revisión trimestral de secretos.</w:t>
            </w:r>
          </w:p>
        </w:tc>
        <w:tc>
          <w:tcPr>
            <w:tcW w:type="dxa" w:w="1152"/>
            <w:vAlign w:val="top"/>
            <w:shd w:fill="FFF2CC"/>
          </w:tcPr>
          <w:p>
            <w:pPr>
              <w:spacing w:after="0"/>
              <w:jc w:val="left"/>
            </w:pPr>
            <w:r>
              <w:rPr>
                <w:rFonts w:ascii="Calibri" w:hAnsi="Calibri"/>
                <w:sz w:val="14"/>
              </w:rPr>
            </w:r>
            <w:r>
              <w:rPr>
                <w:rFonts w:ascii="Calibri" w:hAnsi="Calibri"/>
                <w:b w:val="0"/>
                <w:sz w:val="14"/>
              </w:rPr>
              <w:t>Abierto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color w:val="134A9C"/>
          <w:sz w:val="26"/>
        </w:rPr>
        <w:t>Limitaciones y exclusiones operativas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No se ejecutaron pruebas destructivas, denegación de servicio, persistencia, borrado, modificación de datos productivos ni extracción masiva de información.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La validación se limita a activos autorizados, ventanas aprobadas y cuentas asignadas.</w:t>
      </w:r>
    </w:p>
    <w:p>
      <w:pPr>
        <w:pStyle w:val="ListBullet"/>
        <w:ind w:left="360"/>
      </w:pPr>
      <w:r>
        <w:rPr>
          <w:rFonts w:ascii="Calibri" w:hAnsi="Calibri"/>
          <w:sz w:val="18"/>
        </w:rPr>
        <w:t>Los hallazgos con posible impacto productivo se reportan para remediación controlada antes de iniciar operación regular.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46464"/>
        <w:sz w:val="14"/>
      </w:rPr>
      <w:t>FO-SF-127 | SENDERO FUEL S.A. DE C.V. | Documento de trabajo controlado | Confidencial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  <w:tbl>
    <w:tblPr>
      <w:tblStyle w:val="TableGrid"/>
      <w:tblW w:type="auto" w:w="0"/>
      <w:jc w:val="center"/>
      <w:tblLayout w:type="autofit"/>
      <w:tblLook w:firstColumn="1" w:firstRow="1" w:lastColumn="0" w:lastRow="0" w:noHBand="0" w:noVBand="1" w:val="04A0"/>
    </w:tblPr>
    <w:tblGrid>
      <w:gridCol w:w="2700"/>
      <w:gridCol w:w="2700"/>
      <w:gridCol w:w="2700"/>
      <w:gridCol w:w="2700"/>
    </w:tblGrid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FO-SF-127</w:t>
          </w:r>
        </w:p>
      </w:tc>
      <w:tc>
        <w:tcPr>
          <w:tcW w:type="dxa" w:w="2880"/>
          <w:gridSpan w:val="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/>
              <w:sz w:val="14"/>
            </w:rPr>
            <w:t>Reporte de resultados de pruebas de penetración</w:t>
          </w:r>
        </w:p>
      </w:tc>
      <w:tc>
        <w:tcPr>
          <w:tcW w:type="dxa" w:w="2592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sz w:val="14"/>
            </w:rPr>
            <w:drawing>
              <wp:inline xmlns:a="http://schemas.openxmlformats.org/drawingml/2006/main" xmlns:pic="http://schemas.openxmlformats.org/drawingml/2006/picture">
                <wp:extent cx="1143000" cy="44053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1728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Emisión: 29/06/2026</w:t>
          </w:r>
        </w:p>
      </w:tc>
      <w:tc>
        <w:tcPr>
          <w:tcW w:type="dxa" w:w="360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Versión: 1.0</w:t>
          </w:r>
        </w:p>
      </w:tc>
      <w:tc>
        <w:tcPr>
          <w:tcW w:type="dxa" w:w="2880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Área: Seguridad de la Información / TI</w:t>
          </w:r>
        </w:p>
      </w:tc>
      <w:tc>
        <w:tcPr>
          <w:tcW w:type="dxa" w:w="2592"/>
          <w:vAlign w:val="top"/>
        </w:tcPr>
        <w:p>
          <w:pPr>
            <w:spacing w:after="0"/>
            <w:jc w:val="center"/>
          </w:pPr>
          <w:r>
            <w:rPr>
              <w:rFonts w:ascii="Calibri" w:hAnsi="Calibri"/>
              <w:sz w:val="14"/>
            </w:rPr>
          </w:r>
          <w:r>
            <w:rPr>
              <w:rFonts w:ascii="Calibri" w:hAnsi="Calibri"/>
              <w:b w:val="0"/>
              <w:sz w:val="14"/>
            </w:rPr>
            <w:t>Confidencial - uso interno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34A9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A2A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A2A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