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704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ergo_logo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134A9C"/>
          <w:sz w:val="28"/>
        </w:rPr>
        <w:t>FO-SF-126</w:t>
      </w:r>
    </w:p>
    <w:p>
      <w:pPr>
        <w:jc w:val="center"/>
      </w:pPr>
      <w:r>
        <w:rPr>
          <w:rFonts w:ascii="Calibri" w:hAnsi="Calibri"/>
          <w:b/>
          <w:color w:val="0A2A66"/>
          <w:sz w:val="32"/>
        </w:rPr>
        <w:t>Protocolo de pruebas de penetración para activos críticos</w:t>
      </w:r>
    </w:p>
    <w:p>
      <w:pPr>
        <w:jc w:val="center"/>
      </w:pPr>
      <w:r>
        <w:rPr>
          <w:rFonts w:ascii="Calibri" w:hAnsi="Calibri"/>
          <w:color w:val="646464"/>
          <w:sz w:val="20"/>
        </w:rPr>
        <w:t>Punto 49 del Anexo 10 RMF 2026 | Monedero electrónico de combustibles</w:t>
      </w:r>
    </w:p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Empresa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SENDERO FUEL S.A. DE C.V.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Fecha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29/06/2026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Área responsable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 / TI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Versión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1.0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Código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FO-SF-126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Estatus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Preoperativo / controlado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Elaboró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Revisó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TI / Control Interno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Referencia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PR-SF-014; documentación técnica integral del monedero; reporte SF-P49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Monedero electrónico de combustibles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1. Objetivo</w:t>
      </w:r>
    </w:p>
    <w:p>
      <w:pPr>
        <w:jc w:val="both"/>
      </w:pPr>
      <w:r>
        <w:rPr>
          <w:rFonts w:ascii="Calibri" w:hAnsi="Calibri"/>
          <w:sz w:val="18"/>
        </w:rPr>
        <w:t>Validar de forma controlada la resistencia de los activos críticos del monedero electrónico de combustibles frente a escenarios razonables de ataque, sin afectar disponibilidad, integridad ni confidencialidad de la plataforma.</w:t>
      </w:r>
    </w:p>
    <w:p>
      <w:pPr>
        <w:pStyle w:val="Heading1"/>
      </w:pPr>
      <w:r>
        <w:rPr>
          <w:rFonts w:ascii="Calibri" w:hAnsi="Calibri"/>
          <w:b/>
          <w:color w:val="134A9C"/>
          <w:sz w:val="26"/>
        </w:rPr>
        <w:t>2. Activos críticos incluidos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244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Activo crítico</w:t>
            </w:r>
          </w:p>
        </w:tc>
        <w:tc>
          <w:tcPr>
            <w:tcW w:type="dxa" w:w="360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Motivo de criticidad</w:t>
            </w:r>
          </w:p>
        </w:tc>
        <w:tc>
          <w:tcPr>
            <w:tcW w:type="dxa" w:w="432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Pruebas permitidas</w:t>
            </w:r>
          </w:p>
        </w:tc>
      </w:tr>
      <w:tr>
        <w:trPr>
          <w:cantSplit/>
        </w:trPr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Portal Clientes / API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Canal de autenticación, consulta, administración y operación del monedero.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DAST, pruebas de autenticación, autorización, sesión, headers, rate limit y exposición de endpoints.</w:t>
            </w:r>
          </w:p>
        </w:tc>
      </w:tr>
      <w:tr>
        <w:trPr>
          <w:cantSplit/>
        </w:trPr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SRV-MON-APP-PR / SRV-MON-SER-PR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Aplicación y backend productivo del monedero.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Pruebas no destructivas, revisión de configuración, exposición y rutas públicas.</w:t>
            </w:r>
          </w:p>
        </w:tc>
      </w:tr>
      <w:tr>
        <w:trPr>
          <w:cantSplit/>
        </w:trPr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SRV-MON-DB-PR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Base de datos transaccional.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Validación de exposición, segmentación, cuentas de servicio y hardening; sin extracción masiva.</w:t>
            </w:r>
          </w:p>
        </w:tc>
      </w:tr>
      <w:tr>
        <w:trPr>
          <w:cantSplit/>
        </w:trPr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FortiGate NGX / Oficina / ASSETEL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Perímetro, VPN IPSEC y segmentación.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Revisión de superficie de administración, puertos, políticas, MFA y acceso por ACL.</w:t>
            </w:r>
          </w:p>
        </w:tc>
      </w:tr>
      <w:tr>
        <w:trPr>
          <w:cantSplit/>
        </w:trPr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DRP ASSETEL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Continuidad y recuperación.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Validación de exposición, replicación, segmentación y accesos administrativos.</w:t>
            </w:r>
          </w:p>
        </w:tc>
      </w:tr>
      <w:tr>
        <w:trPr>
          <w:cantSplit/>
        </w:trPr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Estaciones afiliadas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Canal de autorización de carga y comunicación con backend.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Pruebas de segmentación, credenciales, alcance VPN y checklist de configuración.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3. Reglas de enfrentamiento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No realizar DoS, DDoS, estrés, fuzzing destructivo, borrado, alteración, persistencia ni exfiltración de datos.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No ejecutar exploits destructivos ni pruebas de fuerza bruta sin autorización específica adicional.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Usar cuentas nominativas, temporales y con alcance delimitado.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Registrar hora de inicio, hora de cierre, responsable, IP de origen, herramienta y resultado.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Suspender inmediatamente ante degradación de servicio o desviación del alcance.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Coordinar con proveedores de centro de datos, estaciones y mesa de ayuda.</w:t>
      </w:r>
    </w:p>
    <w:p>
      <w:pPr>
        <w:pStyle w:val="Heading1"/>
      </w:pPr>
      <w:r>
        <w:rPr>
          <w:rFonts w:ascii="Calibri" w:hAnsi="Calibri"/>
          <w:b/>
          <w:color w:val="134A9C"/>
          <w:sz w:val="26"/>
        </w:rPr>
        <w:t>4. Casos de prueba autorizados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187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Caso</w:t>
            </w:r>
          </w:p>
        </w:tc>
        <w:tc>
          <w:tcPr>
            <w:tcW w:type="dxa" w:w="489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Descripción</w:t>
            </w:r>
          </w:p>
        </w:tc>
        <w:tc>
          <w:tcPr>
            <w:tcW w:type="dxa" w:w="360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Evidencia esperada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PT-01 Descubrimiento controlado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Identificación de puertos, servicios, versiones, certificados y cabeceras.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Nmap, ZAP, Nuclei, capturas y matriz de servicios.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PT-02 Autenticación y sesión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Validar login, OTP, expiración, bloqueo progresivo y protección de tokens.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Casos de prueba, logs y capturas de respuestas controladas.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PT-03 Autorización horizontal/vertical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Validar que usuarios no accedan a datos, tarjetas, consumos o reportes ajenos.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Pruebas con usuarios de bajo privilegio y respuestas 401/403.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PT-04 API y errores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Revisar exposición de Swagger, mensajes de error, métodos HTTP y validación de entrada.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Reporte ZAP/Nuclei y evidencia manual.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PT-05 Infraestructura y perímetro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Validar administración restringida, segmentación y servicios innecesarios.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Nmap/OpenVAS, configuración y pruebas de acceso denegado.</w:t>
            </w:r>
          </w:p>
        </w:tc>
      </w:tr>
      <w:tr>
        <w:trPr>
          <w:cantSplit/>
        </w:trPr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PT-06 Código y secretos</w:t>
            </w:r>
          </w:p>
        </w:tc>
        <w:tc>
          <w:tcPr>
            <w:tcW w:type="dxa" w:w="489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Detectar dependencias vulnerables, secretos, tokens o cadenas de conexión.</w:t>
            </w:r>
          </w:p>
        </w:tc>
        <w:tc>
          <w:tcPr>
            <w:tcW w:type="dxa" w:w="360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SonarQube, Trivy, Dependency-Check, Gitleaks.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5. Criterios de reporte</w:t>
      </w:r>
    </w:p>
    <w:p>
      <w:pPr>
        <w:jc w:val="both"/>
      </w:pPr>
      <w:r>
        <w:rPr>
          <w:rFonts w:ascii="Calibri" w:hAnsi="Calibri"/>
          <w:sz w:val="18"/>
        </w:rPr>
        <w:t>Cada hallazgo de pentest deberá reportarse con identificador, activo, vector, severidad, evidencia, impacto, prueba no destructiva realizada, recomendación, responsable de remediación, SLA y criterio de cierre.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4"/>
      </w:rPr>
      <w:t>FO-SF-126 | SENDERO FUEL S.A. DE C.V. | Documento de trabajo controlado | Confidencial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  <w:tbl>
    <w:tblPr>
      <w:tblStyle w:val="TableGrid"/>
      <w:tblW w:type="auto" w:w="0"/>
      <w:jc w:val="center"/>
      <w:tblLayout w:type="autofit"/>
      <w:tblLook w:firstColumn="1" w:firstRow="1" w:lastColumn="0" w:lastRow="0" w:noHBand="0" w:noVBand="1" w:val="04A0"/>
    </w:tblPr>
    <w:tblGrid>
      <w:gridCol w:w="2700"/>
      <w:gridCol w:w="2700"/>
      <w:gridCol w:w="2700"/>
      <w:gridCol w:w="2700"/>
    </w:tblGrid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FO-SF-126</w:t>
          </w:r>
        </w:p>
      </w:tc>
      <w:tc>
        <w:tcPr>
          <w:tcW w:type="dxa" w:w="2880"/>
          <w:gridSpan w:val="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Protocolo de pruebas de penetración para activos críticos</w:t>
          </w:r>
        </w:p>
      </w:tc>
      <w:tc>
        <w:tcPr>
          <w:tcW w:type="dxa" w:w="2592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sz w:val="14"/>
            </w:rPr>
            <w:drawing>
              <wp:inline xmlns:a="http://schemas.openxmlformats.org/drawingml/2006/main" xmlns:pic="http://schemas.openxmlformats.org/drawingml/2006/picture">
                <wp:extent cx="1143000" cy="44053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nergo_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4053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Emisión: 29/06/2026</w:t>
          </w:r>
        </w:p>
      </w:tc>
      <w:tc>
        <w:tcPr>
          <w:tcW w:type="dxa" w:w="360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Versión: 1.0</w:t>
          </w:r>
        </w:p>
      </w:tc>
      <w:tc>
        <w:tcPr>
          <w:tcW w:type="dxa" w:w="288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Área: Seguridad de la Información / TI</w:t>
          </w:r>
        </w:p>
      </w:tc>
      <w:tc>
        <w:tcPr>
          <w:tcW w:type="dxa" w:w="259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Confidencial - uso interno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34A9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A2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A2A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