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7048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ergo_logo_cr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04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134A9C"/>
          <w:sz w:val="28"/>
        </w:rPr>
        <w:t>FO-SF-125</w:t>
      </w:r>
    </w:p>
    <w:p>
      <w:pPr>
        <w:jc w:val="center"/>
      </w:pPr>
      <w:r>
        <w:rPr>
          <w:rFonts w:ascii="Calibri" w:hAnsi="Calibri"/>
          <w:b/>
          <w:color w:val="0A2A66"/>
          <w:sz w:val="32"/>
        </w:rPr>
        <w:t>Plan de remediación y seguimiento</w:t>
      </w:r>
    </w:p>
    <w:p>
      <w:pPr>
        <w:jc w:val="center"/>
      </w:pPr>
      <w:r>
        <w:rPr>
          <w:rFonts w:ascii="Calibri" w:hAnsi="Calibri"/>
          <w:color w:val="646464"/>
          <w:sz w:val="20"/>
        </w:rPr>
        <w:t>Punto 49 del Anexo 10 RMF 2026 | Monedero electrónico de combustibles</w:t>
      </w:r>
    </w:p>
    <w:p/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Empresa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SENDERO FUEL S.A. DE C.V.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Fecha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29/06/2026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Área responsable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 / TI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Versión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1.0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Código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FO-SF-125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Estatus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Preoperativo / controlado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Elaboró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Revisó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TI / Control Interno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Referencia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PR-SF-014; documentación técnica integral del monedero; reporte SF-P49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Monedero electrónico de combustibles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Plan de remediación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18"/>
        <w:gridCol w:w="1818"/>
        <w:gridCol w:w="1818"/>
        <w:gridCol w:w="1818"/>
        <w:gridCol w:w="1818"/>
        <w:gridCol w:w="1818"/>
        <w:gridCol w:w="1818"/>
        <w:gridCol w:w="1818"/>
      </w:tblGrid>
      <w:tr>
        <w:trPr>
          <w:tblHeader w:val="true"/>
        </w:trPr>
        <w:tc>
          <w:tcPr>
            <w:tcW w:type="dxa" w:w="100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ID</w:t>
            </w:r>
          </w:p>
        </w:tc>
        <w:tc>
          <w:tcPr>
            <w:tcW w:type="dxa" w:w="864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Sev.</w:t>
            </w:r>
          </w:p>
        </w:tc>
        <w:tc>
          <w:tcPr>
            <w:tcW w:type="dxa" w:w="187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Responsable</w:t>
            </w:r>
          </w:p>
        </w:tc>
        <w:tc>
          <w:tcPr>
            <w:tcW w:type="dxa" w:w="432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Acción correctiva</w:t>
            </w:r>
          </w:p>
        </w:tc>
        <w:tc>
          <w:tcPr>
            <w:tcW w:type="dxa" w:w="115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SLA</w:t>
            </w:r>
          </w:p>
        </w:tc>
        <w:tc>
          <w:tcPr>
            <w:tcW w:type="dxa" w:w="144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Fecha compromiso</w:t>
            </w:r>
          </w:p>
        </w:tc>
        <w:tc>
          <w:tcPr>
            <w:tcW w:type="dxa" w:w="432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Evidencia de cierre</w:t>
            </w:r>
          </w:p>
        </w:tc>
        <w:tc>
          <w:tcPr>
            <w:tcW w:type="dxa" w:w="115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Estatus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SF49-PT-001</w:t>
            </w:r>
          </w:p>
        </w:tc>
        <w:tc>
          <w:tcPr>
            <w:tcW w:type="dxa" w:w="864"/>
            <w:vAlign w:val="top"/>
            <w:shd w:fill="F4CC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Seguridad / Infraestructura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Restringir administración de firewall a red de gestión, MFA, ACL y bitácoras.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72 horas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02/07/2026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Captura de configuración, prueba de acceso denegado desde red no autorizada, log de MFA.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SF49-PT-002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Desarrollo / TI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Deshabilitar o proteger Swagger/OpenAPI en QA y producción; limitar por IP/VPN.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15 días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14/07/2026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Captura 401/403, regla en proxy/IIS, reescaneo ZAP/Nuclei sin alerta.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SF49-PT-003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Desarrollo / Infraestructura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Aplicar headers de seguridad en IIS/reverse proxy y validar CSP/HSTS.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15 días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14/07/2026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Reporte ZAP limpio o con riesgo aceptado; evidencia de web.config/proxy.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SF49-PT-004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Redes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Migrar a SNMPv3, cambiar comunidades y restringir por ACL.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15 días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14/07/2026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Configuración exportada, intento SNMPv2 fallido, logs de consulta autorizada.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SF49-PT-005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Infraestructura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Revisar permisos SMB, aplicar grupos nominativos y activar firma SMB.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15 días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14/07/2026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Listado de ACL, captura de política SMB, reescaneo de configuración.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SF49-PT-006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DBA / Infraestructura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Cerrar puertos DB a segmentos no autorizados; whitelisting y reglas de host firewall.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15 días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14/07/2026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Nmap posterior sin exposición no autorizada; matriz de reglas aprobada.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SF49-PT-007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Desarrollo / Seguridad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Rate limit por IP/usuario/dispositivo en login, OTP, recuperación y reenvío.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15 días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14/07/2026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Prueba controlada de bloqueo progresivo; logs de alerta.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SF49-PT-008</w:t>
            </w:r>
          </w:p>
        </w:tc>
        <w:tc>
          <w:tcPr>
            <w:tcW w:type="dxa" w:w="864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TI / Soporte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Actualizar GLPI, ocultar banners y restringir acceso a red administrativa.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30 días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29/07/2026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Versión actualizada, acceso denegado desde red no autorizada, ZAP/Nuclei actualizado.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SF49-PT-009</w:t>
            </w:r>
          </w:p>
        </w:tc>
        <w:tc>
          <w:tcPr>
            <w:tcW w:type="dxa" w:w="864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Infraestructura / Desarrollo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Estandarizar certificados internos y deshabilitar TLS obsoleto.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30 días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29/07/2026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Reporte SSL/TLS, captura de certificado válido y configuración de protocolos.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SF49-PT-010</w:t>
            </w:r>
          </w:p>
        </w:tc>
        <w:tc>
          <w:tcPr>
            <w:tcW w:type="dxa" w:w="864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Infraestructura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Separar red de gestión VMware y obligar acceso mediante jump server con MFA.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30 días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29/07/2026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Diagrama actualizado, ACL, bitácoras de acceso, prueba de segmentación.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SF49-PT-011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Operaciones / Proveedor estación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Rotar credenciales, eliminar defaults y documentar configuración segura por estación.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15 días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14/07/2026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Acta de proveedor, checklist de estación, evidencia de credenciales únicas.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0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SF49-PT-012</w:t>
            </w:r>
          </w:p>
        </w:tc>
        <w:tc>
          <w:tcPr>
            <w:tcW w:type="dxa" w:w="864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DevOps / Seguridad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Implementar secret scanning, vault y rotación documentada de tokens.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30 días</w:t>
            </w:r>
          </w:p>
        </w:tc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29/07/2026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Pipeline con Gitleaks, evidencia de rotación y reporte sin secretos.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Lineamientos de seguimiento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Los hallazgos críticos se revisarán diariamente hasta su mitigación.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Los hallazgos altos se revisarán al menos dos veces por semana hasta cierre.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Todo cierre requiere evidencia técnica, ticket y revalidación por Seguridad de la Información.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Si no es posible remediar dentro del SLA, se documentará aceptación temporal de riesgo residual con controles compensatorios y fecha límite.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4"/>
      </w:rPr>
      <w:t>FO-SF-125 | SENDERO FUEL S.A. DE C.V. | Documento de trabajo controlado | Confidencial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  <w:tbl>
    <w:tblPr>
      <w:tblStyle w:val="TableGrid"/>
      <w:tblW w:type="auto" w:w="0"/>
      <w:jc w:val="center"/>
      <w:tblLayout w:type="autofit"/>
      <w:tblLook w:firstColumn="1" w:firstRow="1" w:lastColumn="0" w:lastRow="0" w:noHBand="0" w:noVBand="1" w:val="04A0"/>
    </w:tblPr>
    <w:tblGrid>
      <w:gridCol w:w="2700"/>
      <w:gridCol w:w="2700"/>
      <w:gridCol w:w="2700"/>
      <w:gridCol w:w="2700"/>
    </w:tblGrid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FO-SF-125</w:t>
          </w:r>
        </w:p>
      </w:tc>
      <w:tc>
        <w:tcPr>
          <w:tcW w:type="dxa" w:w="2880"/>
          <w:gridSpan w:val="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Plan de remediación y seguimiento</w:t>
          </w:r>
        </w:p>
      </w:tc>
      <w:tc>
        <w:tcPr>
          <w:tcW w:type="dxa" w:w="2592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sz w:val="14"/>
            </w:rPr>
            <w:drawing>
              <wp:inline xmlns:a="http://schemas.openxmlformats.org/drawingml/2006/main" xmlns:pic="http://schemas.openxmlformats.org/drawingml/2006/picture">
                <wp:extent cx="1143000" cy="44053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nergo_logo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44053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Emisión: 29/06/2026</w:t>
          </w:r>
        </w:p>
      </w:tc>
      <w:tc>
        <w:tcPr>
          <w:tcW w:type="dxa" w:w="360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Versión: 1.0</w:t>
          </w:r>
        </w:p>
      </w:tc>
      <w:tc>
        <w:tcPr>
          <w:tcW w:type="dxa" w:w="288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Área: Seguridad de la Información / TI</w:t>
          </w:r>
        </w:p>
      </w:tc>
      <w:tc>
        <w:tcPr>
          <w:tcW w:type="dxa" w:w="259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Confidencial - uso interno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34A9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A2A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A2A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