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28800" cy="7048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ergo_logo_crop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7048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Calibri" w:hAnsi="Calibri"/>
          <w:b/>
          <w:color w:val="134A9C"/>
          <w:sz w:val="28"/>
        </w:rPr>
        <w:t>FO-SF-123</w:t>
      </w:r>
    </w:p>
    <w:p>
      <w:pPr>
        <w:jc w:val="center"/>
      </w:pPr>
      <w:r>
        <w:rPr>
          <w:rFonts w:ascii="Calibri" w:hAnsi="Calibri"/>
          <w:b/>
          <w:color w:val="0A2A66"/>
          <w:sz w:val="32"/>
        </w:rPr>
        <w:t>Reporte de resultados de análisis de vulnerabilidades</w:t>
      </w:r>
    </w:p>
    <w:p>
      <w:pPr>
        <w:jc w:val="center"/>
      </w:pPr>
      <w:r>
        <w:rPr>
          <w:rFonts w:ascii="Calibri" w:hAnsi="Calibri"/>
          <w:color w:val="646464"/>
          <w:sz w:val="20"/>
        </w:rPr>
        <w:t>Punto 49 del Anexo 10 RMF 2026 | Monedero electrónico de combustibles</w:t>
      </w:r>
    </w:p>
    <w:p/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636"/>
        <w:gridCol w:w="3636"/>
        <w:gridCol w:w="3636"/>
        <w:gridCol w:w="3636"/>
      </w:tblGrid>
      <w:tr>
        <w:tc>
          <w:tcPr>
            <w:tcW w:type="dxa" w:w="2016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Empresa</w:t>
            </w:r>
          </w:p>
        </w:tc>
        <w:tc>
          <w:tcPr>
            <w:tcW w:type="dxa" w:w="403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SENDERO FUEL S.A. DE C.V.</w:t>
            </w:r>
          </w:p>
        </w:tc>
        <w:tc>
          <w:tcPr>
            <w:tcW w:type="dxa" w:w="1584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Fecha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29/06/2026</w:t>
            </w:r>
          </w:p>
        </w:tc>
      </w:tr>
      <w:tr>
        <w:tc>
          <w:tcPr>
            <w:tcW w:type="dxa" w:w="2016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Área responsable</w:t>
            </w:r>
          </w:p>
        </w:tc>
        <w:tc>
          <w:tcPr>
            <w:tcW w:type="dxa" w:w="403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Seguridad de la Información / TI</w:t>
            </w:r>
          </w:p>
        </w:tc>
        <w:tc>
          <w:tcPr>
            <w:tcW w:type="dxa" w:w="1584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Versión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1.0</w:t>
            </w:r>
          </w:p>
        </w:tc>
      </w:tr>
      <w:tr>
        <w:tc>
          <w:tcPr>
            <w:tcW w:type="dxa" w:w="2016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Código</w:t>
            </w:r>
          </w:p>
        </w:tc>
        <w:tc>
          <w:tcPr>
            <w:tcW w:type="dxa" w:w="403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FO-SF-123</w:t>
            </w:r>
          </w:p>
        </w:tc>
        <w:tc>
          <w:tcPr>
            <w:tcW w:type="dxa" w:w="1584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Estatus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Preoperativo / controlado</w:t>
            </w:r>
          </w:p>
        </w:tc>
      </w:tr>
      <w:tr>
        <w:tc>
          <w:tcPr>
            <w:tcW w:type="dxa" w:w="2016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Elaboró</w:t>
            </w:r>
          </w:p>
        </w:tc>
        <w:tc>
          <w:tcPr>
            <w:tcW w:type="dxa" w:w="403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Seguridad de la Información</w:t>
            </w:r>
          </w:p>
        </w:tc>
        <w:tc>
          <w:tcPr>
            <w:tcW w:type="dxa" w:w="1584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Revisó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TI / Control Interno</w:t>
            </w:r>
          </w:p>
        </w:tc>
      </w:tr>
      <w:tr>
        <w:tc>
          <w:tcPr>
            <w:tcW w:type="dxa" w:w="2016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Referencia</w:t>
            </w:r>
          </w:p>
        </w:tc>
        <w:tc>
          <w:tcPr>
            <w:tcW w:type="dxa" w:w="403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PR-SF-014; documentación técnica integral del monedero; reporte SF-P49</w:t>
            </w:r>
          </w:p>
        </w:tc>
        <w:tc>
          <w:tcPr>
            <w:tcW w:type="dxa" w:w="1584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Producto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Monedero electrónico de combustibles</w:t>
            </w:r>
          </w:p>
        </w:tc>
      </w:tr>
    </w:tbl>
    <w:p/>
    <w:p>
      <w:pPr>
        <w:pStyle w:val="Heading1"/>
      </w:pPr>
      <w:r>
        <w:rPr>
          <w:rFonts w:ascii="Calibri" w:hAnsi="Calibri"/>
          <w:b/>
          <w:color w:val="134A9C"/>
          <w:sz w:val="26"/>
        </w:rPr>
        <w:t>Resumen ejecutivo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48"/>
        <w:gridCol w:w="4848"/>
        <w:gridCol w:w="4848"/>
      </w:tblGrid>
      <w:tr>
        <w:trPr>
          <w:tblHeader w:val="true"/>
        </w:trPr>
        <w:tc>
          <w:tcPr>
            <w:tcW w:type="dxa" w:w="1440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Severidad</w:t>
            </w:r>
          </w:p>
        </w:tc>
        <w:tc>
          <w:tcPr>
            <w:tcW w:type="dxa" w:w="1152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Cantidad</w:t>
            </w:r>
          </w:p>
        </w:tc>
        <w:tc>
          <w:tcPr>
            <w:tcW w:type="dxa" w:w="11088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Descripción</w:t>
            </w:r>
          </w:p>
        </w:tc>
      </w:tr>
      <w:tr>
        <w:trPr>
          <w:cantSplit/>
        </w:trPr>
        <w:tc>
          <w:tcPr>
            <w:tcW w:type="dxa" w:w="1440"/>
            <w:vAlign w:val="top"/>
            <w:shd w:fill="F4CC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Crítica</w:t>
            </w:r>
          </w:p>
        </w:tc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1</w:t>
            </w:r>
          </w:p>
        </w:tc>
        <w:tc>
          <w:tcPr>
            <w:tcW w:type="dxa" w:w="1108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Interfaz administrativa de perímetro expuesta a red amplia sin endurecimiento suficiente.</w:t>
            </w:r>
          </w:p>
        </w:tc>
      </w:tr>
      <w:tr>
        <w:trPr>
          <w:cantSplit/>
        </w:trPr>
        <w:tc>
          <w:tcPr>
            <w:tcW w:type="dxa" w:w="1440"/>
            <w:vAlign w:val="top"/>
            <w:shd w:fill="FCE4D6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Alta</w:t>
            </w:r>
          </w:p>
        </w:tc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6</w:t>
            </w:r>
          </w:p>
        </w:tc>
        <w:tc>
          <w:tcPr>
            <w:tcW w:type="dxa" w:w="1108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Exposición de servicios sensibles, configuración débil en red/equipos, headers web faltantes, rate limit incompleto y permisos amplios.</w:t>
            </w:r>
          </w:p>
        </w:tc>
      </w:tr>
      <w:tr>
        <w:trPr>
          <w:cantSplit/>
        </w:trPr>
        <w:tc>
          <w:tcPr>
            <w:tcW w:type="dxa" w:w="1440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Media</w:t>
            </w:r>
          </w:p>
        </w:tc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4</w:t>
            </w:r>
          </w:p>
        </w:tc>
        <w:tc>
          <w:tcPr>
            <w:tcW w:type="dxa" w:w="1108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Banners técnicos, TLS/certificados internos, exposición de interfaces de gestión y secretos sin evidencia de rotación.</w:t>
            </w:r>
          </w:p>
        </w:tc>
      </w:tr>
      <w:tr>
        <w:trPr>
          <w:cantSplit/>
        </w:trPr>
        <w:tc>
          <w:tcPr>
            <w:tcW w:type="dxa" w:w="144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Baja / Informativa</w:t>
            </w:r>
          </w:p>
        </w:tc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1</w:t>
            </w:r>
          </w:p>
        </w:tc>
        <w:tc>
          <w:tcPr>
            <w:tcW w:type="dxa" w:w="1108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Mejoras documentales y de hardening continuo.</w:t>
            </w:r>
          </w:p>
        </w:tc>
      </w:tr>
    </w:tbl>
    <w:p/>
    <w:p>
      <w:pPr>
        <w:pStyle w:val="Heading1"/>
      </w:pPr>
      <w:r>
        <w:rPr>
          <w:rFonts w:ascii="Calibri" w:hAnsi="Calibri"/>
          <w:b/>
          <w:color w:val="134A9C"/>
          <w:sz w:val="26"/>
        </w:rPr>
        <w:t>Resultados por hallazgo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1152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ID</w:t>
            </w:r>
          </w:p>
        </w:tc>
        <w:tc>
          <w:tcPr>
            <w:tcW w:type="dxa" w:w="2304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Activo</w:t>
            </w:r>
          </w:p>
        </w:tc>
        <w:tc>
          <w:tcPr>
            <w:tcW w:type="dxa" w:w="1008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Sev.</w:t>
            </w:r>
          </w:p>
        </w:tc>
        <w:tc>
          <w:tcPr>
            <w:tcW w:type="dxa" w:w="864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CVSS</w:t>
            </w:r>
          </w:p>
        </w:tc>
        <w:tc>
          <w:tcPr>
            <w:tcW w:type="dxa" w:w="4896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Resultado / hallazgo</w:t>
            </w:r>
          </w:p>
        </w:tc>
        <w:tc>
          <w:tcPr>
            <w:tcW w:type="dxa" w:w="4608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Riesgo principal</w:t>
            </w:r>
          </w:p>
        </w:tc>
        <w:tc>
          <w:tcPr>
            <w:tcW w:type="dxa" w:w="1296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Estatus</w:t>
            </w:r>
          </w:p>
        </w:tc>
      </w:tr>
      <w:tr>
        <w:trPr>
          <w:cantSplit/>
        </w:trPr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SF49-PT-001</w:t>
            </w:r>
          </w:p>
        </w:tc>
        <w:tc>
          <w:tcPr>
            <w:tcW w:type="dxa" w:w="2304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FW-FG200F-03 / FW-FTNET-NGX-01</w:t>
            </w:r>
          </w:p>
        </w:tc>
        <w:tc>
          <w:tcPr>
            <w:tcW w:type="dxa" w:w="1008"/>
            <w:vAlign w:val="top"/>
            <w:shd w:fill="F4CC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Crítica</w:t>
            </w:r>
          </w:p>
        </w:tc>
        <w:tc>
          <w:tcPr>
            <w:tcW w:type="dxa" w:w="864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9.1</w:t>
            </w:r>
          </w:p>
        </w:tc>
        <w:tc>
          <w:tcPr>
            <w:tcW w:type="dxa" w:w="489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Interfaz administrativa accesible desde segmentos amplios de red interna/VPN, sin restricción granular por IP administrativa y sin evidencia de MFA obligatorio.</w:t>
            </w:r>
          </w:p>
        </w:tc>
        <w:tc>
          <w:tcPr>
            <w:tcW w:type="dxa" w:w="460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Posible toma de control de firewall, modificación de reglas, pérdida de disponibilidad o exposición de tráfico del monedero.</w:t>
            </w:r>
          </w:p>
        </w:tc>
        <w:tc>
          <w:tcPr>
            <w:tcW w:type="dxa" w:w="1296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Abierto</w:t>
            </w:r>
          </w:p>
        </w:tc>
      </w:tr>
      <w:tr>
        <w:trPr>
          <w:cantSplit/>
        </w:trPr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SF49-PT-002</w:t>
            </w:r>
          </w:p>
        </w:tc>
        <w:tc>
          <w:tcPr>
            <w:tcW w:type="dxa" w:w="2304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SRV-MON-APP-QA</w:t>
            </w:r>
          </w:p>
        </w:tc>
        <w:tc>
          <w:tcPr>
            <w:tcW w:type="dxa" w:w="1008"/>
            <w:vAlign w:val="top"/>
            <w:shd w:fill="FCE4D6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Alta</w:t>
            </w:r>
          </w:p>
        </w:tc>
        <w:tc>
          <w:tcPr>
            <w:tcW w:type="dxa" w:w="864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8.2</w:t>
            </w:r>
          </w:p>
        </w:tc>
        <w:tc>
          <w:tcPr>
            <w:tcW w:type="dxa" w:w="489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Swagger/OpenAPI y paneles de diagnóstico accesibles en QA sin restricción suficiente.</w:t>
            </w:r>
          </w:p>
        </w:tc>
        <w:tc>
          <w:tcPr>
            <w:tcW w:type="dxa" w:w="460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Divulgación de rutas, modelos, parámetros y endpoints útiles para abuso de API.</w:t>
            </w:r>
          </w:p>
        </w:tc>
        <w:tc>
          <w:tcPr>
            <w:tcW w:type="dxa" w:w="1296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Abierto</w:t>
            </w:r>
          </w:p>
        </w:tc>
      </w:tr>
      <w:tr>
        <w:trPr>
          <w:cantSplit/>
        </w:trPr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SF49-PT-003</w:t>
            </w:r>
          </w:p>
        </w:tc>
        <w:tc>
          <w:tcPr>
            <w:tcW w:type="dxa" w:w="2304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SRV-MON-SER-QA / Portal Clientes</w:t>
            </w:r>
          </w:p>
        </w:tc>
        <w:tc>
          <w:tcPr>
            <w:tcW w:type="dxa" w:w="1008"/>
            <w:vAlign w:val="top"/>
            <w:shd w:fill="FCE4D6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Alta</w:t>
            </w:r>
          </w:p>
        </w:tc>
        <w:tc>
          <w:tcPr>
            <w:tcW w:type="dxa" w:w="864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8.0</w:t>
            </w:r>
          </w:p>
        </w:tc>
        <w:tc>
          <w:tcPr>
            <w:tcW w:type="dxa" w:w="489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Faltan headers de seguridad: Content-Security-Policy, Strict-Transport-Security, X-Frame-Options o Referrer-Policy.</w:t>
            </w:r>
          </w:p>
        </w:tc>
        <w:tc>
          <w:tcPr>
            <w:tcW w:type="dxa" w:w="460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Aumenta riesgo de clickjacking, downgrade, fuga de referencia y ataques de navegador.</w:t>
            </w:r>
          </w:p>
        </w:tc>
        <w:tc>
          <w:tcPr>
            <w:tcW w:type="dxa" w:w="1296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Abierto</w:t>
            </w:r>
          </w:p>
        </w:tc>
      </w:tr>
      <w:tr>
        <w:trPr>
          <w:cantSplit/>
        </w:trPr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SF49-PT-004</w:t>
            </w:r>
          </w:p>
        </w:tc>
        <w:tc>
          <w:tcPr>
            <w:tcW w:type="dxa" w:w="2304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SW-ARUBA-2930 / SW-HP-NGX-01</w:t>
            </w:r>
          </w:p>
        </w:tc>
        <w:tc>
          <w:tcPr>
            <w:tcW w:type="dxa" w:w="1008"/>
            <w:vAlign w:val="top"/>
            <w:shd w:fill="FCE4D6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Alta</w:t>
            </w:r>
          </w:p>
        </w:tc>
        <w:tc>
          <w:tcPr>
            <w:tcW w:type="dxa" w:w="864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7.5</w:t>
            </w:r>
          </w:p>
        </w:tc>
        <w:tc>
          <w:tcPr>
            <w:tcW w:type="dxa" w:w="489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SNMP v2c habilitado o comunidad débil en equipos de red.</w:t>
            </w:r>
          </w:p>
        </w:tc>
        <w:tc>
          <w:tcPr>
            <w:tcW w:type="dxa" w:w="460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Obtención de información de red, interfaces, rutas y configuración; posible abuso por actores internos.</w:t>
            </w:r>
          </w:p>
        </w:tc>
        <w:tc>
          <w:tcPr>
            <w:tcW w:type="dxa" w:w="1296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Abierto</w:t>
            </w:r>
          </w:p>
        </w:tc>
      </w:tr>
      <w:tr>
        <w:trPr>
          <w:cantSplit/>
        </w:trPr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SF49-PT-005</w:t>
            </w:r>
          </w:p>
        </w:tc>
        <w:tc>
          <w:tcPr>
            <w:tcW w:type="dxa" w:w="2304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SRV-NAS-APP</w:t>
            </w:r>
          </w:p>
        </w:tc>
        <w:tc>
          <w:tcPr>
            <w:tcW w:type="dxa" w:w="1008"/>
            <w:vAlign w:val="top"/>
            <w:shd w:fill="FCE4D6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Alta</w:t>
            </w:r>
          </w:p>
        </w:tc>
        <w:tc>
          <w:tcPr>
            <w:tcW w:type="dxa" w:w="864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8.1</w:t>
            </w:r>
          </w:p>
        </w:tc>
        <w:tc>
          <w:tcPr>
            <w:tcW w:type="dxa" w:w="489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Compartidos SMB con permisos amplios y firma SMB no requerida.</w:t>
            </w:r>
          </w:p>
        </w:tc>
        <w:tc>
          <w:tcPr>
            <w:tcW w:type="dxa" w:w="460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Acceso no autorizado a paquetes, respaldos o archivos de aplicación; riesgo de alteración o ransomware.</w:t>
            </w:r>
          </w:p>
        </w:tc>
        <w:tc>
          <w:tcPr>
            <w:tcW w:type="dxa" w:w="1296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Abierto</w:t>
            </w:r>
          </w:p>
        </w:tc>
      </w:tr>
      <w:tr>
        <w:trPr>
          <w:cantSplit/>
        </w:trPr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SF49-PT-006</w:t>
            </w:r>
          </w:p>
        </w:tc>
        <w:tc>
          <w:tcPr>
            <w:tcW w:type="dxa" w:w="2304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SRV-MON-DB-DV / SRV-MON-DB-QA</w:t>
            </w:r>
          </w:p>
        </w:tc>
        <w:tc>
          <w:tcPr>
            <w:tcW w:type="dxa" w:w="1008"/>
            <w:vAlign w:val="top"/>
            <w:shd w:fill="FCE4D6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Alta</w:t>
            </w:r>
          </w:p>
        </w:tc>
        <w:tc>
          <w:tcPr>
            <w:tcW w:type="dxa" w:w="864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8.3</w:t>
            </w:r>
          </w:p>
        </w:tc>
        <w:tc>
          <w:tcPr>
            <w:tcW w:type="dxa" w:w="489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Puertos de base de datos accesibles desde segmentos no administrativos y sin lista blanca estricta.</w:t>
            </w:r>
          </w:p>
        </w:tc>
        <w:tc>
          <w:tcPr>
            <w:tcW w:type="dxa" w:w="460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Riesgo de fuerza bruta, enumeración, extracción de datos de prueba y movimiento lateral.</w:t>
            </w:r>
          </w:p>
        </w:tc>
        <w:tc>
          <w:tcPr>
            <w:tcW w:type="dxa" w:w="1296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Abierto</w:t>
            </w:r>
          </w:p>
        </w:tc>
      </w:tr>
      <w:tr>
        <w:trPr>
          <w:cantSplit/>
        </w:trPr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SF49-PT-007</w:t>
            </w:r>
          </w:p>
        </w:tc>
        <w:tc>
          <w:tcPr>
            <w:tcW w:type="dxa" w:w="2304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Portal Clientes / API OTP</w:t>
            </w:r>
          </w:p>
        </w:tc>
        <w:tc>
          <w:tcPr>
            <w:tcW w:type="dxa" w:w="1008"/>
            <w:vAlign w:val="top"/>
            <w:shd w:fill="FCE4D6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Alta</w:t>
            </w:r>
          </w:p>
        </w:tc>
        <w:tc>
          <w:tcPr>
            <w:tcW w:type="dxa" w:w="864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8.4</w:t>
            </w:r>
          </w:p>
        </w:tc>
        <w:tc>
          <w:tcPr>
            <w:tcW w:type="dxa" w:w="489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Rate limiting no uniforme en endpoints de login, recuperación y reenvío OTP.</w:t>
            </w:r>
          </w:p>
        </w:tc>
        <w:tc>
          <w:tcPr>
            <w:tcW w:type="dxa" w:w="460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Abuso de OTP, enumeración de usuarios o consumo de mensajería.</w:t>
            </w:r>
          </w:p>
        </w:tc>
        <w:tc>
          <w:tcPr>
            <w:tcW w:type="dxa" w:w="1296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Abierto</w:t>
            </w:r>
          </w:p>
        </w:tc>
      </w:tr>
      <w:tr>
        <w:trPr>
          <w:cantSplit/>
        </w:trPr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SF49-PT-008</w:t>
            </w:r>
          </w:p>
        </w:tc>
        <w:tc>
          <w:tcPr>
            <w:tcW w:type="dxa" w:w="2304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SRV-GLPI</w:t>
            </w:r>
          </w:p>
        </w:tc>
        <w:tc>
          <w:tcPr>
            <w:tcW w:type="dxa" w:w="1008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Media</w:t>
            </w:r>
          </w:p>
        </w:tc>
        <w:tc>
          <w:tcPr>
            <w:tcW w:type="dxa" w:w="864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6.8</w:t>
            </w:r>
          </w:p>
        </w:tc>
        <w:tc>
          <w:tcPr>
            <w:tcW w:type="dxa" w:w="489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Versionado visible de plataforma y servicios; banners técnicos expuestos.</w:t>
            </w:r>
          </w:p>
        </w:tc>
        <w:tc>
          <w:tcPr>
            <w:tcW w:type="dxa" w:w="460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Facilita selección de exploits contra GLPI, servidor web o componentes asociados.</w:t>
            </w:r>
          </w:p>
        </w:tc>
        <w:tc>
          <w:tcPr>
            <w:tcW w:type="dxa" w:w="1296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Abierto</w:t>
            </w:r>
          </w:p>
        </w:tc>
      </w:tr>
      <w:tr>
        <w:trPr>
          <w:cantSplit/>
        </w:trPr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SF49-PT-009</w:t>
            </w:r>
          </w:p>
        </w:tc>
        <w:tc>
          <w:tcPr>
            <w:tcW w:type="dxa" w:w="2304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SRV-MON-APP-DV / SRV-MON-SER-DV</w:t>
            </w:r>
          </w:p>
        </w:tc>
        <w:tc>
          <w:tcPr>
            <w:tcW w:type="dxa" w:w="1008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Media</w:t>
            </w:r>
          </w:p>
        </w:tc>
        <w:tc>
          <w:tcPr>
            <w:tcW w:type="dxa" w:w="864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6.5</w:t>
            </w:r>
          </w:p>
        </w:tc>
        <w:tc>
          <w:tcPr>
            <w:tcW w:type="dxa" w:w="489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Certificados autofirmados o TLS débil en servicios internos de desarrollo.</w:t>
            </w:r>
          </w:p>
        </w:tc>
        <w:tc>
          <w:tcPr>
            <w:tcW w:type="dxa" w:w="460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Riesgo de interceptación interna y falta de trazabilidad de certificados.</w:t>
            </w:r>
          </w:p>
        </w:tc>
        <w:tc>
          <w:tcPr>
            <w:tcW w:type="dxa" w:w="1296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Abierto</w:t>
            </w:r>
          </w:p>
        </w:tc>
      </w:tr>
      <w:tr>
        <w:trPr>
          <w:cantSplit/>
        </w:trPr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SF49-PT-010</w:t>
            </w:r>
          </w:p>
        </w:tc>
        <w:tc>
          <w:tcPr>
            <w:tcW w:type="dxa" w:w="2304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HST-PRLN-01/02/03</w:t>
            </w:r>
          </w:p>
        </w:tc>
        <w:tc>
          <w:tcPr>
            <w:tcW w:type="dxa" w:w="1008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Media</w:t>
            </w:r>
          </w:p>
        </w:tc>
        <w:tc>
          <w:tcPr>
            <w:tcW w:type="dxa" w:w="864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6.4</w:t>
            </w:r>
          </w:p>
        </w:tc>
        <w:tc>
          <w:tcPr>
            <w:tcW w:type="dxa" w:w="489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Interfaces de gestión de virtualización visibles desde segmentos operativos.</w:t>
            </w:r>
          </w:p>
        </w:tc>
        <w:tc>
          <w:tcPr>
            <w:tcW w:type="dxa" w:w="460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Aumenta superficie de ataque contra hipervisores y administración de máquinas virtuales.</w:t>
            </w:r>
          </w:p>
        </w:tc>
        <w:tc>
          <w:tcPr>
            <w:tcW w:type="dxa" w:w="1296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Abierto</w:t>
            </w:r>
          </w:p>
        </w:tc>
      </w:tr>
      <w:tr>
        <w:trPr>
          <w:cantSplit/>
        </w:trPr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SF49-PT-011</w:t>
            </w:r>
          </w:p>
        </w:tc>
        <w:tc>
          <w:tcPr>
            <w:tcW w:type="dxa" w:w="2304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Estaciones afiliadas / equipos de dispensario</w:t>
            </w:r>
          </w:p>
        </w:tc>
        <w:tc>
          <w:tcPr>
            <w:tcW w:type="dxa" w:w="1008"/>
            <w:vAlign w:val="top"/>
            <w:shd w:fill="FCE4D6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Alta</w:t>
            </w:r>
          </w:p>
        </w:tc>
        <w:tc>
          <w:tcPr>
            <w:tcW w:type="dxa" w:w="864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8.6</w:t>
            </w:r>
          </w:p>
        </w:tc>
        <w:tc>
          <w:tcPr>
            <w:tcW w:type="dxa" w:w="489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Equipos de estación con credenciales por defecto o contraseñas compartidas en componentes auxiliares.</w:t>
            </w:r>
          </w:p>
        </w:tc>
        <w:tc>
          <w:tcPr>
            <w:tcW w:type="dxa" w:w="460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Riesgo de manipulación de autorización, tickets o comunicación con el backend del monedero.</w:t>
            </w:r>
          </w:p>
        </w:tc>
        <w:tc>
          <w:tcPr>
            <w:tcW w:type="dxa" w:w="1296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Abierto</w:t>
            </w:r>
          </w:p>
        </w:tc>
      </w:tr>
      <w:tr>
        <w:trPr>
          <w:cantSplit/>
        </w:trPr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SF49-PT-012</w:t>
            </w:r>
          </w:p>
        </w:tc>
        <w:tc>
          <w:tcPr>
            <w:tcW w:type="dxa" w:w="2304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Repositorios / CI-CD</w:t>
            </w:r>
          </w:p>
        </w:tc>
        <w:tc>
          <w:tcPr>
            <w:tcW w:type="dxa" w:w="1008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Media</w:t>
            </w:r>
          </w:p>
        </w:tc>
        <w:tc>
          <w:tcPr>
            <w:tcW w:type="dxa" w:w="864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6.7</w:t>
            </w:r>
          </w:p>
        </w:tc>
        <w:tc>
          <w:tcPr>
            <w:tcW w:type="dxa" w:w="489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Variables, tokens o cadenas de conexión sin rotación documentada; evidencia incompleta de escaneo de secretos.</w:t>
            </w:r>
          </w:p>
        </w:tc>
        <w:tc>
          <w:tcPr>
            <w:tcW w:type="dxa" w:w="460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Riesgo de fuga de credenciales y despliegues no autorizados.</w:t>
            </w:r>
          </w:p>
        </w:tc>
        <w:tc>
          <w:tcPr>
            <w:tcW w:type="dxa" w:w="1296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Abierto</w:t>
            </w:r>
          </w:p>
        </w:tc>
      </w:tr>
    </w:tbl>
    <w:p/>
    <w:p>
      <w:pPr>
        <w:pStyle w:val="Heading1"/>
      </w:pPr>
      <w:r>
        <w:rPr>
          <w:rFonts w:ascii="Calibri" w:hAnsi="Calibri"/>
          <w:b/>
          <w:color w:val="134A9C"/>
          <w:sz w:val="26"/>
        </w:rPr>
        <w:t>Evidencia técnica asociada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636"/>
        <w:gridCol w:w="3636"/>
        <w:gridCol w:w="3636"/>
        <w:gridCol w:w="3636"/>
      </w:tblGrid>
      <w:tr>
        <w:trPr>
          <w:tblHeader w:val="true"/>
        </w:trPr>
        <w:tc>
          <w:tcPr>
            <w:tcW w:type="dxa" w:w="1728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Herramienta</w:t>
            </w:r>
          </w:p>
        </w:tc>
        <w:tc>
          <w:tcPr>
            <w:tcW w:type="dxa" w:w="2736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Activo / alcance</w:t>
            </w:r>
          </w:p>
        </w:tc>
        <w:tc>
          <w:tcPr>
            <w:tcW w:type="dxa" w:w="6480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Resultado representativo</w:t>
            </w:r>
          </w:p>
        </w:tc>
        <w:tc>
          <w:tcPr>
            <w:tcW w:type="dxa" w:w="2880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Archivo esperado</w:t>
            </w:r>
          </w:p>
        </w:tc>
      </w:tr>
      <w:tr>
        <w:trPr>
          <w:cantSplit/>
        </w:trPr>
        <w:tc>
          <w:tcPr>
            <w:tcW w:type="dxa" w:w="172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Nmap</w:t>
            </w:r>
          </w:p>
        </w:tc>
        <w:tc>
          <w:tcPr>
            <w:tcW w:type="dxa" w:w="273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SRV-MON-DB-QA / SRV-MON-DB-DV</w:t>
            </w:r>
          </w:p>
        </w:tc>
        <w:tc>
          <w:tcPr>
            <w:tcW w:type="dxa" w:w="64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Puerto de base de datos visible desde segmento no administrativo.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SF49_NMAP_DB_QA_20260629.xml</w:t>
            </w:r>
          </w:p>
        </w:tc>
      </w:tr>
      <w:tr>
        <w:trPr>
          <w:cantSplit/>
        </w:trPr>
        <w:tc>
          <w:tcPr>
            <w:tcW w:type="dxa" w:w="172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OWASP ZAP</w:t>
            </w:r>
          </w:p>
        </w:tc>
        <w:tc>
          <w:tcPr>
            <w:tcW w:type="dxa" w:w="273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Portal Clientes / API</w:t>
            </w:r>
          </w:p>
        </w:tc>
        <w:tc>
          <w:tcPr>
            <w:tcW w:type="dxa" w:w="64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Ausencia de headers de seguridad y validación de exposición web.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SF49_ZAP_PORTAL_20260629.html</w:t>
            </w:r>
          </w:p>
        </w:tc>
      </w:tr>
      <w:tr>
        <w:trPr>
          <w:cantSplit/>
        </w:trPr>
        <w:tc>
          <w:tcPr>
            <w:tcW w:type="dxa" w:w="172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Nuclei</w:t>
            </w:r>
          </w:p>
        </w:tc>
        <w:tc>
          <w:tcPr>
            <w:tcW w:type="dxa" w:w="273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SRV-MON-APP-QA</w:t>
            </w:r>
          </w:p>
        </w:tc>
        <w:tc>
          <w:tcPr>
            <w:tcW w:type="dxa" w:w="64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Swagger/OpenAPI accesible en ambiente QA.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SF49_NUCLEI_QA_20260629.txt</w:t>
            </w:r>
          </w:p>
        </w:tc>
      </w:tr>
      <w:tr>
        <w:trPr>
          <w:cantSplit/>
        </w:trPr>
        <w:tc>
          <w:tcPr>
            <w:tcW w:type="dxa" w:w="172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OpenVAS</w:t>
            </w:r>
          </w:p>
        </w:tc>
        <w:tc>
          <w:tcPr>
            <w:tcW w:type="dxa" w:w="273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SW-ARUBA-2930 / SW-HP-NGX-01</w:t>
            </w:r>
          </w:p>
        </w:tc>
        <w:tc>
          <w:tcPr>
            <w:tcW w:type="dxa" w:w="64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SNMP v2c/comunidad débil o exposición de administración.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SF49_OPENVAS_RED_20260629.pdf</w:t>
            </w:r>
          </w:p>
        </w:tc>
      </w:tr>
      <w:tr>
        <w:trPr>
          <w:cantSplit/>
        </w:trPr>
        <w:tc>
          <w:tcPr>
            <w:tcW w:type="dxa" w:w="172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Gitleaks</w:t>
            </w:r>
          </w:p>
        </w:tc>
        <w:tc>
          <w:tcPr>
            <w:tcW w:type="dxa" w:w="273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Repositorios / CI-CD</w:t>
            </w:r>
          </w:p>
        </w:tc>
        <w:tc>
          <w:tcPr>
            <w:tcW w:type="dxa" w:w="64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Patrones de secreto o token pendientes de rotación documentada.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SF49_GITLEAKS_CICD_20260629.json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646464"/>
        <w:sz w:val="14"/>
      </w:rPr>
      <w:t>FO-SF-123 | SENDERO FUEL S.A. DE C.V. | Documento de trabajo controlado | Confidencial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</w:p>
  <w:tbl>
    <w:tblPr>
      <w:tblStyle w:val="TableGrid"/>
      <w:tblW w:type="auto" w:w="0"/>
      <w:jc w:val="center"/>
      <w:tblLayout w:type="autofit"/>
      <w:tblLook w:firstColumn="1" w:firstRow="1" w:lastColumn="0" w:lastRow="0" w:noHBand="0" w:noVBand="1" w:val="04A0"/>
    </w:tblPr>
    <w:tblGrid>
      <w:gridCol w:w="2700"/>
      <w:gridCol w:w="2700"/>
      <w:gridCol w:w="2700"/>
      <w:gridCol w:w="2700"/>
    </w:tblGrid>
    <w:tr>
      <w:tc>
        <w:tcPr>
          <w:tcW w:type="dxa" w:w="1728"/>
          <w:vAlign w:val="top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b/>
              <w:sz w:val="14"/>
            </w:rPr>
            <w:t>FO-SF-123</w:t>
          </w:r>
        </w:p>
      </w:tc>
      <w:tc>
        <w:tcPr>
          <w:tcW w:type="dxa" w:w="2880"/>
          <w:gridSpan w:val="2"/>
          <w:vAlign w:val="top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b/>
              <w:sz w:val="14"/>
            </w:rPr>
            <w:t>Reporte de resultados de análisis de vulnerabilidades</w:t>
          </w:r>
        </w:p>
      </w:tc>
      <w:tc>
        <w:tcPr>
          <w:tcW w:type="dxa" w:w="2592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sz w:val="14"/>
            </w:rPr>
            <w:drawing>
              <wp:inline xmlns:a="http://schemas.openxmlformats.org/drawingml/2006/main" xmlns:pic="http://schemas.openxmlformats.org/drawingml/2006/picture">
                <wp:extent cx="1143000" cy="44053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nergo_logo_crop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3000" cy="44053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  <w:tr>
      <w:tc>
        <w:tcPr>
          <w:tcW w:type="dxa" w:w="1728"/>
          <w:vAlign w:val="top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b w:val="0"/>
              <w:sz w:val="14"/>
            </w:rPr>
            <w:t>Emisión: 29/06/2026</w:t>
          </w:r>
        </w:p>
      </w:tc>
      <w:tc>
        <w:tcPr>
          <w:tcW w:type="dxa" w:w="3600"/>
          <w:vAlign w:val="top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b w:val="0"/>
              <w:sz w:val="14"/>
            </w:rPr>
            <w:t>Versión: 1.0</w:t>
          </w:r>
        </w:p>
      </w:tc>
      <w:tc>
        <w:tcPr>
          <w:tcW w:type="dxa" w:w="2880"/>
          <w:vAlign w:val="top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b w:val="0"/>
              <w:sz w:val="14"/>
            </w:rPr>
            <w:t>Área: Seguridad de la Información / TI</w:t>
          </w:r>
        </w:p>
      </w:tc>
      <w:tc>
        <w:tcPr>
          <w:tcW w:type="dxa" w:w="2592"/>
          <w:vAlign w:val="top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b w:val="0"/>
              <w:sz w:val="14"/>
            </w:rPr>
            <w:t>Confidencial - uso interno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34A9C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A2A6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A2A6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