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704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ergo_logo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134A9C"/>
          <w:sz w:val="28"/>
        </w:rPr>
        <w:t>FO-SF-122</w:t>
      </w:r>
    </w:p>
    <w:p>
      <w:pPr>
        <w:jc w:val="center"/>
      </w:pPr>
      <w:r>
        <w:rPr>
          <w:rFonts w:ascii="Calibri" w:hAnsi="Calibri"/>
          <w:b/>
          <w:color w:val="0A2A66"/>
          <w:sz w:val="32"/>
        </w:rPr>
        <w:t>Matriz de activos sujetos a análisis</w:t>
      </w:r>
    </w:p>
    <w:p>
      <w:pPr>
        <w:jc w:val="center"/>
      </w:pPr>
      <w:r>
        <w:rPr>
          <w:rFonts w:ascii="Calibri" w:hAnsi="Calibri"/>
          <w:color w:val="646464"/>
          <w:sz w:val="20"/>
        </w:rPr>
        <w:t>Punto 49 del Anexo 10 RMF 2026 | Monedero electrónico de combustibles</w:t>
      </w:r>
    </w:p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Empresa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SENDERO FUEL S.A. DE C.V.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Fecha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29/06/2026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Área responsable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 / TI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Versión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1.0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Código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FO-SF-122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Estatus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Preoperativo / controlado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Elaboró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Revisó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TI / Control Interno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Referencia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PR-SF-014; documentación técnica integral del monedero; reporte SF-P49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Monedero electrónico de combustibles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Matriz de activos</w:t>
      </w:r>
    </w:p>
    <w:p>
      <w:pPr>
        <w:jc w:val="both"/>
      </w:pPr>
      <w:r>
        <w:rPr>
          <w:rFonts w:ascii="Calibri" w:hAnsi="Calibri"/>
          <w:sz w:val="18"/>
        </w:rPr>
        <w:t>La matriz identifica los activos que deberán incluirse en el análisis de vulnerabilidades del monedero electrónico de combustibles. La criticidad se ajusta conforme al impacto operativo, exposición, función transaccional y relación con continuidad del servicio.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18"/>
        <w:gridCol w:w="1818"/>
        <w:gridCol w:w="1818"/>
        <w:gridCol w:w="1818"/>
        <w:gridCol w:w="1818"/>
        <w:gridCol w:w="1818"/>
        <w:gridCol w:w="1818"/>
        <w:gridCol w:w="1818"/>
      </w:tblGrid>
      <w:tr>
        <w:trPr>
          <w:tblHeader w:val="true"/>
        </w:trPr>
        <w:tc>
          <w:tcPr>
            <w:tcW w:type="dxa" w:w="187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Ubicación</w:t>
            </w:r>
          </w:p>
        </w:tc>
        <w:tc>
          <w:tcPr>
            <w:tcW w:type="dxa" w:w="216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Activo</w:t>
            </w:r>
          </w:p>
        </w:tc>
        <w:tc>
          <w:tcPr>
            <w:tcW w:type="dxa" w:w="201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Tipo</w:t>
            </w:r>
          </w:p>
        </w:tc>
        <w:tc>
          <w:tcPr>
            <w:tcW w:type="dxa" w:w="187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IP/FQDN</w:t>
            </w:r>
          </w:p>
        </w:tc>
        <w:tc>
          <w:tcPr>
            <w:tcW w:type="dxa" w:w="187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Función</w:t>
            </w:r>
          </w:p>
        </w:tc>
        <w:tc>
          <w:tcPr>
            <w:tcW w:type="dxa" w:w="115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Criticidad</w:t>
            </w:r>
          </w:p>
        </w:tc>
        <w:tc>
          <w:tcPr>
            <w:tcW w:type="dxa" w:w="259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Herramientas</w:t>
            </w:r>
          </w:p>
        </w:tc>
        <w:tc>
          <w:tcPr>
            <w:tcW w:type="dxa" w:w="172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Frecuencia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Producción activa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FW-FTNET-NGX-01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FortiGate 200F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10.20.1.1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Perímetro y red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Nmap, revisión configuración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 / trimestral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Producción activa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SW-HP-NGX-01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HP FlexFabric 5700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10.20.1.2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Switch / red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Nmap, SNMP audit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Producción activa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HST-PRLN-01/02/03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Hosts VMware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10.20.1.4-10.20.1.6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Virtualización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revisión hardening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Producción activa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STR-MSA-01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Almacenamiento iSCSI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10.20.1.10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Almacenamiento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revisión SMB/iSCSI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Producción activa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VLT-SONCE-01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Respaldo inmutable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10.20.1.30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Backup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revisión configuración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Producción activa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SRV-NAS-APP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NAS / red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10.100.30.9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Repositorio / archivos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Nmap, revisión permisos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Producción activa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SRV-MON-DB-PR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Base de datos monedero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172.16.52.10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Base de datos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 autenticado, Nmap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Producción activa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SRV-MON-APP-PR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Aplicación monedero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172.16.52.11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Aplicación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ZAP, Nuclei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 / trimestral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Producción activa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SRV-MON-SER-PR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Servicios web/backend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172.16.52.12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API / backend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ZAP, Nuclei, OpenVAS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 / trimestral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QA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SRV-MON-DB-QA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Base de datos QA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172.16.51.10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Pruebas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Quincenal / por cambio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QA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SRV-MON-APP-QA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Aplicación QA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172.16.51.11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Pruebas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ZAP, Nuclei, OpenVAS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Quincenal / por cambio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QA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SRV-MON-SER-QA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Servicios QA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172.16.51.12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Pruebas API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ZAP, Nuclei, OpenVAS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Quincenal / por cambio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Desarrollo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SRV-MON-DB-DV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Base de datos desarrollo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172.16.50.10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Desarrollo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 / por cambio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Desarrollo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SRV-MON-APP-DV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Aplicación desarrollo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172.16.50.11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Desarrollo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ZAP, Nuclei, OpenVAS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 / por cambio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NGX / Desarrollo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SRV-MON-SER-DV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Servicios desarrollo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172.16.50.12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Desarrollo API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ZAP, Nuclei, OpenVAS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 / por cambio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ASSETEL / DRP standby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FW-ASSETEL-NGX-01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FortiGate 300E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10.30.1.1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Perímetro DRP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Nmap, revisión configuración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 / trimestral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ASSETEL / DRP standby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HST-PRLN-04/05/06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Hosts VMware DRP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10.30.1.13-10.30.1.15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Virtualización DRP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revisión hardening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ASSETEL / DRP standby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STR-MSA-02 / VLT-SONCE-02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Almacenamiento y backup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10.30.1.18 / 10.30.1.9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Almacenamiento DRP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revisión configuración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Oficina EnerGo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FW-FG200F-03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FortiGate 200E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10.100.0.1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Perímetro oficina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Nmap, revisión configuración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 / trimestral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Oficina EnerGo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SW-ARUBA-2930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Switch Aruba 2930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10.100.0.14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Red oficina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Nmap, SNMP audit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Gestión y seguridad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SRV-GLPI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Tickets / soporte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10.255.248.26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Gestión TI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ZAP, Nuclei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Canales conectados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Estaciones afiliadas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Equipos estación / dispensarios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192.168.2.x / 192.168.3.x / 192.168.x.x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Operación transaccional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Nmap controlado, checklist proveedor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Trimestral / por alta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Canales conectados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Portal Clientes / API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Servicios web/API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FQDN interno/externo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Servicios expuestos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ZAP, Nuclei, OpenVAS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Mensual / trimestral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Canales conectados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App móvil / operadores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Dispositivos móviles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N/A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Canal usuario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MASTG, revisión configuración, Trivy/Gitleaks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 versión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Criterios de inclusión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Se incluyen activos de producción, QA, desarrollo, DRP, oficina, gestión, estaciones conectadas y servicios expuestos.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Los activos críticos requieren escaneo periódico, validación manual y prueba de penetración al menos semestral o por cambios mayores.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Los equipos de empleados y dispositivos móviles se controlarán mediante revisión de configuración, hardening, EDR/antivirus, versiones y controles de acceso cuando estén relacionados con el monedero.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4"/>
      </w:rPr>
      <w:t>FO-SF-122 | SENDERO FUEL S.A. DE C.V. | Documento de trabajo controlado | Confidencial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  <w:tbl>
    <w:tblPr>
      <w:tblStyle w:val="TableGrid"/>
      <w:tblW w:type="auto" w:w="0"/>
      <w:jc w:val="center"/>
      <w:tblLayout w:type="autofit"/>
      <w:tblLook w:firstColumn="1" w:firstRow="1" w:lastColumn="0" w:lastRow="0" w:noHBand="0" w:noVBand="1" w:val="04A0"/>
    </w:tblPr>
    <w:tblGrid>
      <w:gridCol w:w="2700"/>
      <w:gridCol w:w="2700"/>
      <w:gridCol w:w="2700"/>
      <w:gridCol w:w="2700"/>
    </w:tblGrid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FO-SF-122</w:t>
          </w:r>
        </w:p>
      </w:tc>
      <w:tc>
        <w:tcPr>
          <w:tcW w:type="dxa" w:w="2880"/>
          <w:gridSpan w:val="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Matriz de activos sujetos a análisis</w:t>
          </w:r>
        </w:p>
      </w:tc>
      <w:tc>
        <w:tcPr>
          <w:tcW w:type="dxa" w:w="2592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sz w:val="14"/>
            </w:rPr>
            <w:drawing>
              <wp:inline xmlns:a="http://schemas.openxmlformats.org/drawingml/2006/main" xmlns:pic="http://schemas.openxmlformats.org/drawingml/2006/picture">
                <wp:extent cx="1143000" cy="44053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nergo_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4053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Emisión: 29/06/2026</w:t>
          </w:r>
        </w:p>
      </w:tc>
      <w:tc>
        <w:tcPr>
          <w:tcW w:type="dxa" w:w="360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Versión: 1.0</w:t>
          </w:r>
        </w:p>
      </w:tc>
      <w:tc>
        <w:tcPr>
          <w:tcW w:type="dxa" w:w="288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Área: Seguridad de la Información / TI</w:t>
          </w:r>
        </w:p>
      </w:tc>
      <w:tc>
        <w:tcPr>
          <w:tcW w:type="dxa" w:w="259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Confidencial - uso interno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34A9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A2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A2A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