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FO-SF-121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Protocolo de análisis de vulnerabilidades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FO-SF-121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1. Alcance autorizado</w:t>
      </w:r>
    </w:p>
    <w:p>
      <w:pPr>
        <w:jc w:val="both"/>
      </w:pPr>
      <w:r>
        <w:rPr>
          <w:rFonts w:ascii="Calibri" w:hAnsi="Calibri"/>
          <w:sz w:val="18"/>
        </w:rPr>
        <w:t>El análisis comprende todos los dispositivos y activos relacionados con el monedero electrónico de combustibles, incluyendo centros de datos NGX y ASSETEL, ambientes de producción, QA, desarrollo, DRP, red de oficina, equipos de red, servidores, servicios API, Portal Clientes, ERP, GLPI, estaciones afiliadas, dispositivos móviles y repositorios/pipelines asociados.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316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691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Condición aprobada</w:t>
            </w:r>
          </w:p>
        </w:tc>
      </w:tr>
      <w:tr>
        <w:trPr>
          <w:cantSplit/>
        </w:trPr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Permiso de ejecución</w:t>
            </w:r>
          </w:p>
        </w:tc>
        <w:tc>
          <w:tcPr>
            <w:tcW w:type="dxa" w:w="69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Confirmado por SENDERO FUEL y proveedores involucrados.</w:t>
            </w:r>
          </w:p>
        </w:tc>
      </w:tr>
      <w:tr>
        <w:trPr>
          <w:cantSplit/>
        </w:trPr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Producto regulado</w:t>
            </w:r>
          </w:p>
        </w:tc>
        <w:tc>
          <w:tcPr>
            <w:tcW w:type="dxa" w:w="69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combustibles.</w:t>
            </w:r>
          </w:p>
        </w:tc>
      </w:tr>
      <w:tr>
        <w:trPr>
          <w:cantSplit/>
        </w:trPr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Ventana preoperativa</w:t>
            </w:r>
          </w:p>
        </w:tc>
        <w:tc>
          <w:tcPr>
            <w:tcW w:type="dxa" w:w="69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Horario abierto por no existir operación productiva activa.</w:t>
            </w:r>
          </w:p>
        </w:tc>
      </w:tr>
      <w:tr>
        <w:trPr>
          <w:cantSplit/>
        </w:trPr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Ventana posterior a operación</w:t>
            </w:r>
          </w:p>
        </w:tc>
        <w:tc>
          <w:tcPr>
            <w:tcW w:type="dxa" w:w="69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Fines de semana, preferentemente después de las 20:00 horas.</w:t>
            </w:r>
          </w:p>
        </w:tc>
      </w:tr>
      <w:tr>
        <w:trPr>
          <w:cantSplit/>
        </w:trPr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Restricciones</w:t>
            </w:r>
          </w:p>
        </w:tc>
        <w:tc>
          <w:tcPr>
            <w:tcW w:type="dxa" w:w="69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No realizar pruebas destructivas, DoS/DDoS, extracción masiva de datos, persistencia no autorizada ni modificación de registros productivos.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2. Herramientas autorizadas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201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Herramienta</w:t>
            </w:r>
          </w:p>
        </w:tc>
        <w:tc>
          <w:tcPr>
            <w:tcW w:type="dxa" w:w="331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Uso previsto</w:t>
            </w:r>
          </w:p>
        </w:tc>
        <w:tc>
          <w:tcPr>
            <w:tcW w:type="dxa" w:w="288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Evidencia generada</w:t>
            </w:r>
          </w:p>
        </w:tc>
        <w:tc>
          <w:tcPr>
            <w:tcW w:type="dxa" w:w="244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Control PR-SF-014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Nmap</w:t>
            </w:r>
          </w:p>
        </w:tc>
        <w:tc>
          <w:tcPr>
            <w:tcW w:type="dxa" w:w="33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Descubrimiento de hosts, puertos y versiones.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Archivos .nmap, .xml, .gnmap y resumen de servicios.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Solicitud FO-SF-054 y bitácora FO-SF-056.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Greenbone/OpenVAS CE</w:t>
            </w:r>
          </w:p>
        </w:tc>
        <w:tc>
          <w:tcPr>
            <w:tcW w:type="dxa" w:w="33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Escaneo de infraestructura con pruebas autenticadas/no autenticadas.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 PDF/CSV con CVE, CVSS, evidencia y recomendación.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Registro en padrón independiente FO-SF-055.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OWASP ZAP</w:t>
            </w:r>
          </w:p>
        </w:tc>
        <w:tc>
          <w:tcPr>
            <w:tcW w:type="dxa" w:w="33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Pruebas DAST de Portal/API.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 HTML/PDF de alertas y evidencia.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Ventana controlada y revisión posterior.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Nuclei</w:t>
            </w:r>
          </w:p>
        </w:tc>
        <w:tc>
          <w:tcPr>
            <w:tcW w:type="dxa" w:w="33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Detección por plantillas de exposiciones, CVE y configuraciones.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 TXT/JSON por severidad.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Alcance limitado a URLs/IPs autorizadas.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Trivy / Dependency-Check</w:t>
            </w:r>
          </w:p>
        </w:tc>
        <w:tc>
          <w:tcPr>
            <w:tcW w:type="dxa" w:w="33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Vulnerabilidades de dependencias y configuración.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 JSON/HTML/SARIF.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Uso sobre repositorios autorizados.</w:t>
            </w:r>
          </w:p>
        </w:tc>
      </w:tr>
      <w:tr>
        <w:trPr>
          <w:cantSplit/>
        </w:trPr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Gitleaks</w:t>
            </w:r>
          </w:p>
        </w:tc>
        <w:tc>
          <w:tcPr>
            <w:tcW w:type="dxa" w:w="331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Detección de secretos en repositorios.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 JSON/SARIF y evidencia de exclusiones.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Resguardo confidencial de hallazgos.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3. Secuencia de ejecución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172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460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Actividad</w:t>
            </w:r>
          </w:p>
        </w:tc>
        <w:tc>
          <w:tcPr>
            <w:tcW w:type="dxa" w:w="403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Salida esperada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Preparación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Validar autorización, alcance, responsables, ventana, respaldos y contactos de escalamiento.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Ticket/solicitud, matriz de activos, autorización de herramientas.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Descubrimiento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Identificar activos activos, puertos, servicios, versiones, certificados y rutas web.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Inventario técnico y mapa de superficie de ataque.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Análisis automatizado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Ejecutar herramientas por segmento y criticidad.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Reportes originales de herramienta.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Validación manual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Eliminar falsos positivos, validar impacto y confirmar criticidad.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Ficha de validación por hallazgo.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Clasificación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Asignar severidad CVSS ajustada por criticidad del activo y exposición.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Matriz FO-SF-124.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Remediación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Asignar responsable, SLA, acción correctiva y evidencia esperada.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Plan FO-SF-125 y tickets de seguimiento.</w:t>
            </w:r>
          </w:p>
        </w:tc>
      </w:tr>
      <w:tr>
        <w:trPr>
          <w:cantSplit/>
        </w:trPr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Reescaneo/cierre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Validar corrección y conservar evidencia antes/después.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Formato FO-SF-128 y reporte de revalidación.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4. Comandos y parámetros de referencia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Actividad</w:t>
            </w:r>
          </w:p>
        </w:tc>
        <w:tc>
          <w:tcPr>
            <w:tcW w:type="dxa" w:w="518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Comando / ejecución autorizada</w:t>
            </w:r>
          </w:p>
        </w:tc>
        <w:tc>
          <w:tcPr>
            <w:tcW w:type="dxa" w:w="345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Precauciones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 descubrimiento</w:t>
            </w:r>
          </w:p>
        </w:tc>
        <w:tc>
          <w:tcPr>
            <w:tcW w:type="dxa" w:w="518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 -Pn -sV --version-light --top-ports 1000 -oA SF49_NMAP_&lt;segmento&gt;_&lt;fecha&gt; &lt;rango_autorizado&gt;</w:t>
            </w:r>
          </w:p>
        </w:tc>
        <w:tc>
          <w:tcPr>
            <w:tcW w:type="dxa" w:w="345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No usar scripts intrusivos ni pruebas de fuerza bruta sin autorización específica.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 baseline</w:t>
            </w:r>
          </w:p>
        </w:tc>
        <w:tc>
          <w:tcPr>
            <w:tcW w:type="dxa" w:w="518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zap-baseline.py -t &lt;URL_autorizada&gt; -r SF49_ZAP_&lt;activo&gt;_&lt;fecha&gt;.html</w:t>
            </w:r>
          </w:p>
        </w:tc>
        <w:tc>
          <w:tcPr>
            <w:tcW w:type="dxa" w:w="345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Ejecutar contra QA o ventana aprobada; no modificar datos.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Nuclei</w:t>
            </w:r>
          </w:p>
        </w:tc>
        <w:tc>
          <w:tcPr>
            <w:tcW w:type="dxa" w:w="518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nuclei -u &lt;URL_autorizada&gt; -severity critical,high,medium -o SF49_NUCLEI_&lt;activo&gt;.txt</w:t>
            </w:r>
          </w:p>
        </w:tc>
        <w:tc>
          <w:tcPr>
            <w:tcW w:type="dxa" w:w="345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Usar plantillas no destructivas.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Trivy</w:t>
            </w:r>
          </w:p>
        </w:tc>
        <w:tc>
          <w:tcPr>
            <w:tcW w:type="dxa" w:w="518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trivy fs --scanners vuln,secret,misconfig &lt;repositorio&gt; --format json</w:t>
            </w:r>
          </w:p>
        </w:tc>
        <w:tc>
          <w:tcPr>
            <w:tcW w:type="dxa" w:w="345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Ejecutar sobre copia o repositorio autorizado.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Gitleaks</w:t>
            </w:r>
          </w:p>
        </w:tc>
        <w:tc>
          <w:tcPr>
            <w:tcW w:type="dxa" w:w="518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gitleaks detect --source &lt;repositorio&gt; --report-format json</w:t>
            </w:r>
          </w:p>
        </w:tc>
        <w:tc>
          <w:tcPr>
            <w:tcW w:type="dxa" w:w="345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Resguardar reportes como confidenciales.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5. Criterios de suspensión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Afectación a disponibilidad, degradación perceptible o caída de servicio.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Detección de modificación no prevista en configuraciones, datos o bitácoras.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Hallazgo crítico que implique exposición activa de credenciales o datos.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Ejecución fuera de alcance, ventana o cuenta autorizada.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Solicitud expresa de TI, Seguridad, proveedor de centro de datos o responsable del activo.</w:t>
      </w:r>
    </w:p>
    <w:p>
      <w:pPr>
        <w:pStyle w:val="Heading1"/>
      </w:pPr>
      <w:r>
        <w:rPr>
          <w:rFonts w:ascii="Calibri" w:hAnsi="Calibri"/>
          <w:b/>
          <w:color w:val="134A9C"/>
          <w:sz w:val="26"/>
        </w:rPr>
        <w:t>6. Evidencia mínima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Solicitud de autorización y registro de herramienta.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Listado de activos incluidos y excluidos.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Reportes originales de herramienta.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Matriz de hallazgos y clasificación.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Plan de remediación, tickets y responsables.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Evidencia de reescaneo y cierre.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FO-SF-121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FO-SF-121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Protocolo de análisis de vulnerabilidades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