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FO-SF-120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Calendario anual de análisis de vulnerabilidades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FO-SF-120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Objetivo del formato</w:t>
      </w:r>
    </w:p>
    <w:p>
      <w:pPr>
        <w:jc w:val="both"/>
      </w:pPr>
      <w:r>
        <w:rPr>
          <w:rFonts w:ascii="Calibri" w:hAnsi="Calibri"/>
          <w:sz w:val="18"/>
        </w:rPr>
        <w:t>Programar, controlar y evidenciar la ejecución periódica de análisis de vulnerabilidades sobre activos del monedero electrónico de combustibles, equipos de red, servidores, ambientes, estaciones conectadas y dispositivos autorizados.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18"/>
        <w:gridCol w:w="1818"/>
        <w:gridCol w:w="1818"/>
        <w:gridCol w:w="1818"/>
        <w:gridCol w:w="1818"/>
        <w:gridCol w:w="1818"/>
        <w:gridCol w:w="1818"/>
        <w:gridCol w:w="1818"/>
      </w:tblGrid>
      <w:tr>
        <w:trPr>
          <w:tblHeader w:val="true"/>
        </w:trPr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Mes</w:t>
            </w:r>
          </w:p>
        </w:tc>
        <w:tc>
          <w:tcPr>
            <w:tcW w:type="dxa" w:w="216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Actividad</w:t>
            </w:r>
          </w:p>
        </w:tc>
        <w:tc>
          <w:tcPr>
            <w:tcW w:type="dxa" w:w="259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Alcance</w:t>
            </w:r>
          </w:p>
        </w:tc>
        <w:tc>
          <w:tcPr>
            <w:tcW w:type="dxa" w:w="259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Herramientas</w:t>
            </w:r>
          </w:p>
        </w:tc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Responsable</w:t>
            </w:r>
          </w:p>
        </w:tc>
        <w:tc>
          <w:tcPr>
            <w:tcW w:type="dxa" w:w="187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Ventana</w:t>
            </w:r>
          </w:p>
        </w:tc>
        <w:tc>
          <w:tcPr>
            <w:tcW w:type="dxa" w:w="129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Estatus</w:t>
            </w:r>
          </w:p>
        </w:tc>
        <w:tc>
          <w:tcPr>
            <w:tcW w:type="dxa" w:w="288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Observaciones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Julio 2026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Levantamiento base preoperativo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Todos los activos del alcance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Nmap, OpenVAS, ZAP, Nuclei, Trivy, Gitleaks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Seguridad / TI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Horario abierto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Primer baseline antes del inicio de operaciones.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Agosto 2026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Escaneo mensual de infraestructura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Producción, QA, desarrollo, oficina, DRP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 autenticado/no autenticado, Nmap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Infraestructura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Horario abierto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Actualizar matriz y validar cierres.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Septiembre 2026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 web/API trimestral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Clientes, API, GLPI y servicios expuestos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OWASP ZAP, Nuclei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 / Seguridad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Horario abierto o fin de semana 20:00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Revisar headers, rate limit, exposición de endpoints y diagnóstico.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Octubre 2026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Revisión de código y dependencias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API, Portal, App móvil, ERP, pipelines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SonarQube, Trivy, Dependency-Check, Gitleaks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DevOps / Desarrollo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 liberación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Vincular con gestión de cambios.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Noviembre 2026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Escaneo mensual + red interna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Firewalls, switches, NAS, DB, VMware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Nmap, revisión hardening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Infraestructura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Fin de semana 20:00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Validar segmentación, SNMP, SMB y administración.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Diciembre 2026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 de penetración semestral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Activos críticos: API, portal, VPN, producción, DRP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Nmap, pruebas manuales controladas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Seguridad / tercero autorizado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Fin de semana 20:00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Requiere autorización formal conforme PR-SF-014.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Enero 2027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Reescaneo de remediación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Activos con hallazgos abiertos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Herramienta original + validación manual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Responsables de activos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Según cambio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Cierre documental y evidencia comparativa.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Febrero 2027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Escaneo mensual y revisión de estaciones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Estaciones afiliadas y equipos auxiliares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 controlado, checklist proveedor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Operaciones / proveedor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Ventana acordada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Credenciales, segmentación y acceso por VPN.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Marzo 2027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 web/API trimestral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Portal, API, autenticación y OTP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ZAP, Nuclei, pruebas manuales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Desarrollo / Seguridad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Fin de semana 20:00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Validar abuso de OTP, login y endpoints.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Abril 2027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Revisión de código y secretos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Repositorios y CI/CD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SonarQube, Trivy, Gitleaks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DevOps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 liberación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Rotación de secretos y calidad de código.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Mayo 2027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Escaneo mensual de infraestructura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Todos los segmentos autorizados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OpenVAS, Nmap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Infraestructura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Fin de semana 20:00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Vincular resultados a FO-SF-123/125.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Junio 2027</w:t>
            </w:r>
          </w:p>
        </w:tc>
        <w:tc>
          <w:tcPr>
            <w:tcW w:type="dxa" w:w="216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Revisión anual y actualización de plan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Todos los activos y formatos 120-128</w:t>
            </w:r>
          </w:p>
        </w:tc>
        <w:tc>
          <w:tcPr>
            <w:tcW w:type="dxa" w:w="259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Consolidación documental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Seguridad / Control Interno</w:t>
            </w:r>
          </w:p>
        </w:tc>
        <w:tc>
          <w:tcPr>
            <w:tcW w:type="dxa" w:w="187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Horario administrativo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Programado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Actualizar procedimiento y métricas.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Criterios de programación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En etapa preoperativa, la ejecución puede realizarse en horario abierto con autorización vigente.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Al iniciar operación productiva, las pruebas intrusivas se harán preferentemente fines de semana después de las 20:00 horas.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Cada actividad debe generar solicitud/autorización de herramienta, reporte técnico, clasificación, plan de remediación y evidencia de cierre cuando aplique.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Los reescaneos se programarán dentro de los SLA de remediación: crítica 72 horas, alta 15 días, media 30 días, baja 60-90 días.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FO-SF-120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FO-SF-120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Calendario anual de análisis de vulnerabilidades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