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28/5/2026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20/4/2026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contar con esta política significa garantizar la disponibilidad e integridad histórica de la información transaccional y operativa del monedero electrónico. Representa la capacidad técnica de recuperar la operación normal ante fallas críticas, ataques cibernéticos o errores humanos, asegurando que los saldos de los clientes y los registros de los contribuyentes permanezcan inalterados y recuperables en todo momento.</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para la generación, resguardo, prueba y destrucción de las copias de seguridad de los datos, sistemas y herramientas que soportan la operación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cumpliendo con los estándares de seguridad y los periodos de resguardo exigidos por la autoridad fiscal.</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 presente política aplica 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sistemas, aplicaciones, bases de datos, servidores, repositorios, archivos de configuración, registros y demás activos tecnológicos relacionados con la operación del monedero electrónico.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generados en oficinas, centro de datos principal, sitios alternos y medios externos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el personal interno, administradores, responsables de infraestructura, seguridad de la información, proveedores y terceros autorizados que intervengan en la administración o resguardo de respaldos.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FO-SF-084 — FO-SF-0084_Registro_maestro_respaldos.docx</w:t>
      </w:r>
    </w:p>
    <w:p>
      <w:pPr>
        <w:spacing w:after="60" w:before="60" w:line="276"/>
      </w:pPr>
      <w:r>
        <w:rPr>
          <w:rFonts w:ascii="Calibri" w:cs="Calibri" w:eastAsia="Calibri" w:hAnsi="Calibri"/>
          <w:b w:val="false"/>
          <w:bCs w:val="false"/>
          <w:color w:val="333333"/>
          <w:sz w:val="20"/>
          <w:szCs w:val="20"/>
        </w:rPr>
        <w:t xml:space="preserve">• FO-SF-085 — FO-SF-0085_Bitacora_ejecucion_respaldos.docx</w:t>
      </w:r>
    </w:p>
    <w:p>
      <w:pPr>
        <w:spacing w:after="60" w:before="60" w:line="276"/>
      </w:pPr>
      <w:r>
        <w:rPr>
          <w:rFonts w:ascii="Calibri" w:cs="Calibri" w:eastAsia="Calibri" w:hAnsi="Calibri"/>
          <w:b w:val="false"/>
          <w:bCs w:val="false"/>
          <w:color w:val="333333"/>
          <w:sz w:val="20"/>
          <w:szCs w:val="20"/>
        </w:rPr>
        <w:t xml:space="preserve">• FO-SF-0086_Bitacora_pruebas_restauracion.docx</w:t>
      </w:r>
    </w:p>
    <w:p>
      <w:pPr>
        <w:spacing w:after="60" w:before="60" w:line="276"/>
      </w:pPr>
      <w:r>
        <w:rPr>
          <w:rFonts w:ascii="Calibri" w:cs="Calibri" w:eastAsia="Calibri" w:hAnsi="Calibri"/>
          <w:b w:val="false"/>
          <w:bCs w:val="false"/>
          <w:color w:val="333333"/>
          <w:sz w:val="20"/>
          <w:szCs w:val="20"/>
        </w:rPr>
        <w:t xml:space="preserve">• FO-SF-086 — FO-SF-0087_Registro_resguardo_externo_cadena_custodia_respaldos.docx</w:t>
      </w:r>
    </w:p>
    <w:p>
      <w:pPr>
        <w:spacing w:after="60" w:before="60" w:line="276"/>
      </w:pPr>
      <w:r>
        <w:rPr>
          <w:rFonts w:ascii="Calibri" w:cs="Calibri" w:eastAsia="Calibri" w:hAnsi="Calibri"/>
          <w:b w:val="false"/>
          <w:bCs w:val="false"/>
          <w:color w:val="333333"/>
          <w:sz w:val="20"/>
          <w:szCs w:val="20"/>
        </w:rPr>
        <w:t xml:space="preserve">• FO-SF-087 — FO-SF-0088_Registro_destruccion_respaldos_medios.docx</w:t>
      </w:r>
    </w:p>
    <w:p>
      <w:pPr>
        <w:spacing w:after="60" w:before="60" w:line="276"/>
      </w:pPr>
      <w:r>
        <w:rPr>
          <w:rFonts w:ascii="Calibri" w:cs="Calibri" w:eastAsia="Calibri" w:hAnsi="Calibri"/>
          <w:b w:val="false"/>
          <w:bCs w:val="false"/>
          <w:color w:val="333333"/>
          <w:sz w:val="20"/>
          <w:szCs w:val="20"/>
        </w:rPr>
        <w:t xml:space="preserve">• FO-SF-088 — FO-SF-0089_Solicitud_autorizacion_restauracion_respaldos.docx</w:t>
      </w:r>
    </w:p>
    <w:p>
      <w:pPr>
        <w:spacing w:after="60" w:before="60" w:line="276"/>
      </w:pPr>
      <w:r>
        <w:rPr>
          <w:rFonts w:ascii="Calibri" w:cs="Calibri" w:eastAsia="Calibri" w:hAnsi="Calibri"/>
          <w:b w:val="false"/>
          <w:bCs w:val="false"/>
          <w:color w:val="333333"/>
          <w:sz w:val="20"/>
          <w:szCs w:val="20"/>
        </w:rPr>
        <w:t xml:space="preserve">• FO-SF-089 — FO-SF-0090_Registro_incidentes_excepciones_respaldo.docx</w:t>
      </w:r>
    </w:p>
    <w:p>
      <w:pPr>
        <w:spacing w:after="60" w:before="60" w:line="276"/>
      </w:pPr>
      <w:r>
        <w:rPr>
          <w:rFonts w:ascii="Calibri" w:cs="Calibri" w:eastAsia="Calibri" w:hAnsi="Calibri"/>
          <w:b w:val="false"/>
          <w:bCs w:val="false"/>
          <w:color w:val="333333"/>
          <w:sz w:val="20"/>
          <w:szCs w:val="20"/>
        </w:rPr>
        <w:t xml:space="preserve">• EV-SF-089 — EVIDENCIA_FINAL_45.pdf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FUNCIONES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Propietario (Accionistas y director general)</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·Aprobar la presente política y proveer los recursos necesarios para su cumplimiento.</w:t>
            </w:r>
          </w:p>
          <w:p>
            <w:pPr>
              <w:jc w:val="left"/>
            </w:pPr>
            <w:r>
              <w:rPr>
                <w:rFonts w:ascii="Calibri" w:cs="Calibri" w:eastAsia="Calibri" w:hAnsi="Calibri"/>
                <w:b w:val="false"/>
                <w:bCs w:val="false"/>
                <w:color w:val="333333"/>
                <w:sz w:val="18"/>
                <w:szCs w:val="18"/>
              </w:rPr>
              <w:t xml:space="preserve">·Respaldar la implementación de controles de protección y recuperación de información.</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Área de TI/Infraestructura</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·Diseñar, configurar, operar y monitorear los procesos de respaldo.</w:t>
            </w:r>
          </w:p>
          <w:p>
            <w:pPr>
              <w:jc w:val="left"/>
            </w:pPr>
            <w:r>
              <w:rPr>
                <w:rFonts w:ascii="Calibri" w:cs="Calibri" w:eastAsia="Calibri" w:hAnsi="Calibri"/>
                <w:b w:val="false"/>
                <w:bCs w:val="false"/>
                <w:color w:val="333333"/>
                <w:sz w:val="18"/>
                <w:szCs w:val="18"/>
              </w:rPr>
              <w:t xml:space="preserve">·Mantener el calendario, bitácoras y evidencia de ejecución de respaldos.</w:t>
            </w:r>
          </w:p>
          <w:p>
            <w:pPr>
              <w:jc w:val="left"/>
            </w:pPr>
            <w:r>
              <w:rPr>
                <w:rFonts w:ascii="Calibri" w:cs="Calibri" w:eastAsia="Calibri" w:hAnsi="Calibri"/>
                <w:b w:val="false"/>
                <w:bCs w:val="false"/>
                <w:color w:val="333333"/>
                <w:sz w:val="18"/>
                <w:szCs w:val="18"/>
              </w:rPr>
              <w:t xml:space="preserve">·Ejecutar pruebas de restauración y documentar sus resultados.</w:t>
            </w:r>
          </w:p>
          <w:p>
            <w:pPr>
              <w:jc w:val="left"/>
            </w:pPr>
            <w:r>
              <w:rPr>
                <w:rFonts w:ascii="Calibri" w:cs="Calibri" w:eastAsia="Calibri" w:hAnsi="Calibri"/>
                <w:b w:val="false"/>
                <w:bCs w:val="false"/>
                <w:color w:val="333333"/>
                <w:sz w:val="18"/>
                <w:szCs w:val="18"/>
              </w:rPr>
              <w:t xml:space="preserve">·Administrar medios, repositorios y herramientas de respaldo autorizados.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Oficial de seguridad</w:t>
            </w:r>
          </w:p>
          <w:p>
            <w:pPr>
              <w:jc w:val="left"/>
            </w:pPr>
            <w:r>
              <w:t xml:space="preserve"> </w:t>
            </w:r>
          </w:p>
          <w:p>
            <w:pPr>
              <w:jc w:val="left"/>
            </w:pPr>
            <w:r>
              <w:t xml:space="preserve"> </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·Verificar que los respaldos cuenten con controles de seguridad adecuados.</w:t>
            </w:r>
          </w:p>
          <w:p>
            <w:pPr>
              <w:jc w:val="left"/>
            </w:pPr>
            <w:r>
              <w:rPr>
                <w:rFonts w:ascii="Calibri" w:cs="Calibri" w:eastAsia="Calibri" w:hAnsi="Calibri"/>
                <w:b w:val="false"/>
                <w:bCs w:val="false"/>
                <w:color w:val="333333"/>
                <w:sz w:val="18"/>
                <w:szCs w:val="18"/>
              </w:rPr>
              <w:t xml:space="preserve">·Validar accesos, cifrado, resguardo externo y destrucción segura.</w:t>
            </w:r>
          </w:p>
          <w:p>
            <w:pPr>
              <w:jc w:val="left"/>
            </w:pPr>
            <w:r>
              <w:rPr>
                <w:rFonts w:ascii="Calibri" w:cs="Calibri" w:eastAsia="Calibri" w:hAnsi="Calibri"/>
                <w:b w:val="false"/>
                <w:bCs w:val="false"/>
                <w:color w:val="333333"/>
                <w:sz w:val="18"/>
                <w:szCs w:val="18"/>
              </w:rPr>
              <w:t xml:space="preserve">·Revisar incidentes, excepciones y desviaciones relacionadas con respaldos</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Responsables de sistema/dueños de información</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·Identificar la información crítica bajo su responsabilidad.</w:t>
            </w:r>
          </w:p>
          <w:p>
            <w:pPr>
              <w:jc w:val="left"/>
            </w:pPr>
            <w:r>
              <w:rPr>
                <w:rFonts w:ascii="Calibri" w:cs="Calibri" w:eastAsia="Calibri" w:hAnsi="Calibri"/>
                <w:b w:val="false"/>
                <w:bCs w:val="false"/>
                <w:color w:val="333333"/>
                <w:sz w:val="18"/>
                <w:szCs w:val="18"/>
              </w:rPr>
              <w:t xml:space="preserve">·Validar requerimientos de frecuencia, retención y recuperación.</w:t>
            </w:r>
          </w:p>
          <w:p>
            <w:pPr>
              <w:jc w:val="left"/>
            </w:pPr>
            <w:r>
              <w:rPr>
                <w:rFonts w:ascii="Calibri" w:cs="Calibri" w:eastAsia="Calibri" w:hAnsi="Calibri"/>
                <w:b w:val="false"/>
                <w:bCs w:val="false"/>
                <w:color w:val="333333"/>
                <w:sz w:val="18"/>
                <w:szCs w:val="18"/>
              </w:rPr>
              <w:t xml:space="preserve">·Participar en pruebas de restauración cuando resulte aplicable.</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Proveedores o terceros autorizados</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·Cumplir las condiciones contractuales, técnicas y de seguridad establecidas por </w:t>
            </w:r>
            <w:r>
              <w:rPr>
                <w:rFonts w:ascii="Calibri" w:cs="Calibri" w:eastAsia="Calibri" w:hAnsi="Calibri"/>
                <w:b/>
                <w:bCs/>
                <w:color w:val="333333"/>
                <w:sz w:val="18"/>
                <w:szCs w:val="18"/>
              </w:rPr>
              <w:t xml:space="preserve">SENDEROFUEL</w:t>
            </w:r>
            <w:r>
              <w:rPr>
                <w:rFonts w:ascii="Calibri" w:cs="Calibri" w:eastAsia="Calibri" w:hAnsi="Calibri"/>
                <w:b w:val="false"/>
                <w:bCs w:val="false"/>
                <w:color w:val="333333"/>
                <w:sz w:val="18"/>
                <w:szCs w:val="18"/>
              </w:rPr>
              <w:t xml:space="preserve">.</w:t>
            </w:r>
          </w:p>
          <w:p>
            <w:pPr>
              <w:jc w:val="left"/>
            </w:pPr>
            <w:r>
              <w:rPr>
                <w:rFonts w:ascii="Calibri" w:cs="Calibri" w:eastAsia="Calibri" w:hAnsi="Calibri"/>
                <w:b w:val="false"/>
                <w:bCs w:val="false"/>
                <w:color w:val="333333"/>
                <w:sz w:val="18"/>
                <w:szCs w:val="18"/>
              </w:rPr>
              <w:t xml:space="preserve">·Mantener confidencialidad sobre la información respaldada.</w:t>
            </w:r>
          </w:p>
          <w:p>
            <w:pPr>
              <w:jc w:val="left"/>
            </w:pPr>
            <w:r>
              <w:rPr>
                <w:rFonts w:ascii="Calibri" w:cs="Calibri" w:eastAsia="Calibri" w:hAnsi="Calibri"/>
                <w:b w:val="false"/>
                <w:bCs w:val="false"/>
                <w:color w:val="333333"/>
                <w:sz w:val="18"/>
                <w:szCs w:val="18"/>
              </w:rPr>
              <w:t xml:space="preserve">·Entregar evidencia de ejecución, custodia o destrucción cuando corresponda.</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sistemas_activos_y_herramientas_sujetos_a_respaldo" w:id="1"/>
      <w:r>
        <w:t xml:space="preserve"/>
      </w:r>
      <w:bookmarkEnd w:id="1"/>
      <w:r>
        <w:rPr>
          <w:rFonts w:ascii="Calibri" w:cs="Calibri" w:eastAsia="Calibri" w:hAnsi="Calibri"/>
          <w:b/>
          <w:bCs/>
          <w:color w:val="000000"/>
          <w:sz w:val="28"/>
          <w:szCs w:val="28"/>
        </w:rPr>
        <w:t xml:space="preserve">7. SISTEMAS, ACTIVOS Y HERRAMIENTAS SUJETOS A RESPALDO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Deberán ser sujetos de respaldo, como mínimo, los siguientes elementos, en función de su criticidad: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Bases de datos de operación del </w:t>
      </w:r>
      <w:r>
        <w:rPr>
          <w:rFonts w:ascii="Calibri" w:cs="Calibri" w:eastAsia="Calibri" w:hAnsi="Calibri"/>
          <w:b/>
          <w:bCs/>
          <w:color w:val="333333"/>
          <w:sz w:val="20"/>
          <w:szCs w:val="20"/>
        </w:rPr>
        <w:t xml:space="preserve">monedero electrónico</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Aplicaciones productivas y sus configuraciones.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Servidores físicos o virtuales relacionados con la operación.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Archivos de configuración de red, seguridad y comunicaciones.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Repositorios documentales críticos de operación.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Bitácoras, registros y archivos necesarios para recuperación operativa, cuando aplique.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Llaves, certificados, scripts, plantillas y parámetros de configuración necesarios para restablecimiento.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Herramientas o consolas de administración cuya pérdida afecte la continuidad o recuperación.</w:t>
      </w:r>
    </w:p>
    <w:p>
      <w:pPr>
        <w:spacing w:after="120" w:before="0" w:line="276"/>
        <w:jc w:val="both"/>
      </w:pPr>
      <w:r>
        <w:rPr>
          <w:rFonts w:ascii="Calibri" w:cs="Calibri" w:eastAsia="Calibri" w:hAnsi="Calibri"/>
          <w:b w:val="false"/>
          <w:bCs w:val="false"/>
          <w:color w:val="333333"/>
          <w:sz w:val="20"/>
          <w:szCs w:val="20"/>
        </w:rPr>
        <w:t xml:space="preserve">El detalle específico de los activos sujetos a respaldo deberá mantenerse en un registro maestro de respaldos administrado por TI.</w:t>
      </w:r>
    </w:p>
    <w:p>
      <w:r>
        <w:t xml:space="preserve"> </w:t>
      </w:r>
    </w:p>
    <w:p>
      <w:pPr>
        <w:pStyle w:val="Heading1"/>
        <w:pBdr>
          <w:bottom w:val="single" w:color="D9D9D9" w:sz="4" w:space="8"/>
        </w:pBdr>
        <w:spacing w:after="200" w:before="400" w:line="240"/>
      </w:pPr>
      <w:bookmarkStart w:name="section_7_medios_de_almacenamiento_autorizados_para_respaldos" w:id="1"/>
      <w:r>
        <w:t xml:space="preserve"/>
      </w:r>
      <w:bookmarkEnd w:id="1"/>
      <w:r>
        <w:rPr>
          <w:rFonts w:ascii="Calibri" w:cs="Calibri" w:eastAsia="Calibri" w:hAnsi="Calibri"/>
          <w:b/>
          <w:bCs/>
          <w:color w:val="000000"/>
          <w:sz w:val="28"/>
          <w:szCs w:val="28"/>
        </w:rPr>
        <w:t xml:space="preserve">8. MEDIOS DE ALMACENAMIENTO AUTORIZADOS PARA RESPALDOS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Los respaldos sólo podrán almacenarse en medios previamente autorizados por SENDERO FUEL, tales como: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Repositorios de respaldo en infraestructura interna controlada.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Almacenamiento cifrado en sitio alterno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Dispositivos o librerías especializadas para respaldo, con control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Servicios externos o nube autorizados formalmente, siempre que cumplan los controles de seguridad requeridos.</w:t>
      </w:r>
    </w:p>
    <w:p>
      <w:pPr>
        <w:spacing w:after="120" w:before="0" w:line="276"/>
        <w:jc w:val="left"/>
      </w:pPr>
      <w:r>
        <w:rPr>
          <w:rFonts w:ascii="Calibri" w:cs="Calibri" w:eastAsia="Calibri" w:hAnsi="Calibri"/>
          <w:b w:val="false"/>
          <w:bCs w:val="false"/>
          <w:color w:val="333333"/>
          <w:sz w:val="20"/>
          <w:szCs w:val="20"/>
        </w:rPr>
        <w:t xml:space="preserve">Queda prohibido almacenar respaldos en medios personales, servicios no autorizados o dispositivos sin control institucional.</w:t>
      </w:r>
    </w:p>
    <w:p>
      <w:r>
        <w:t xml:space="preserve"> </w:t>
      </w:r>
    </w:p>
    <w:p>
      <w:pPr>
        <w:pStyle w:val="Heading1"/>
        <w:pBdr>
          <w:bottom w:val="single" w:color="D9D9D9" w:sz="4" w:space="8"/>
        </w:pBdr>
        <w:spacing w:after="200" w:before="400" w:line="240"/>
      </w:pPr>
      <w:bookmarkStart w:name="section_8_lineamientos_para_generacion_de_respaldos" w:id="1"/>
      <w:r>
        <w:t xml:space="preserve"/>
      </w:r>
      <w:bookmarkEnd w:id="1"/>
      <w:r>
        <w:rPr>
          <w:rFonts w:ascii="Calibri" w:cs="Calibri" w:eastAsia="Calibri" w:hAnsi="Calibri"/>
          <w:b/>
          <w:bCs/>
          <w:color w:val="000000"/>
          <w:sz w:val="28"/>
          <w:szCs w:val="28"/>
        </w:rPr>
        <w:t xml:space="preserve">9. LINEAMIENTOS PARA GENERACIÓN DE RESPALDOS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deberán programarse conforme a la criticidad de la información y a los requerimientos de recuperación del sistema.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frecuencia podrá ser diaria, semanal, mensual o bajo evento, según el activo respaldado.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respaldo deberá identificarse con al menos: sistema o activo, fecha, tipo de respaldo, responsable y ubicación.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la sensibilidad de la información lo requiera, los respaldos deberán cifrarse.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ejecución fallida, incompleta o inconsistente de un respaldo deberá ser investigada y corregida de forma oportuna.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deberán contar con mecanismos de verificación de integridad, cuando técnicamente resulte aplicable.</w:t>
      </w:r>
    </w:p>
    <w:p>
      <w:r>
        <w:t xml:space="preserve"> </w:t>
      </w:r>
    </w:p>
    <w:p>
      <w:pPr>
        <w:pStyle w:val="Heading1"/>
        <w:pBdr>
          <w:bottom w:val="single" w:color="D9D9D9" w:sz="4" w:space="8"/>
        </w:pBdr>
        <w:spacing w:after="200" w:before="400" w:line="240"/>
      </w:pPr>
      <w:bookmarkStart w:name="section_9_lineamientos_para_pruebas_de_respaldos" w:id="1"/>
      <w:r>
        <w:t xml:space="preserve"/>
      </w:r>
      <w:bookmarkEnd w:id="1"/>
      <w:r>
        <w:rPr>
          <w:rFonts w:ascii="Calibri" w:cs="Calibri" w:eastAsia="Calibri" w:hAnsi="Calibri"/>
          <w:b/>
          <w:bCs/>
          <w:color w:val="000000"/>
          <w:sz w:val="28"/>
          <w:szCs w:val="28"/>
        </w:rPr>
        <w:t xml:space="preserve">10. LINEAMIENTOS PARA PRUEBAS DE RESPALDOS</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realizar pruebas periódicas de restauración para validar que los respaldos son utilizables.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pruebas deberán considerar, al menos, la restauración de información crítica, la consistencia de los datos y el tiempo de recuperación.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Cada prueba deberá documentarse indicando fecha, alcance, resultado, incidencias detectadas, acciones correctivas y 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una prueba falle, TI deberá generar un plan de remediación y repetir la validación correspondiente.</w:t>
      </w:r>
    </w:p>
    <w:p>
      <w:r>
        <w:t xml:space="preserve"> </w:t>
      </w:r>
    </w:p>
    <w:p>
      <w:pPr>
        <w:pStyle w:val="Heading1"/>
        <w:pBdr>
          <w:bottom w:val="single" w:color="D9D9D9" w:sz="4" w:space="8"/>
        </w:pBdr>
        <w:spacing w:after="200" w:before="400" w:line="240"/>
      </w:pPr>
      <w:bookmarkStart w:name="section_10_periodos_de_resguardo_de_respaldos" w:id="1"/>
      <w:r>
        <w:t xml:space="preserve"/>
      </w:r>
      <w:bookmarkEnd w:id="1"/>
      <w:r>
        <w:rPr>
          <w:rFonts w:ascii="Calibri" w:cs="Calibri" w:eastAsia="Calibri" w:hAnsi="Calibri"/>
          <w:b/>
          <w:bCs/>
          <w:color w:val="000000"/>
          <w:sz w:val="28"/>
          <w:szCs w:val="28"/>
        </w:rPr>
        <w:t xml:space="preserve">11. PERIODOS DE RESGUARDO DE RESPALDOS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periodos de conservación deberán definirse con base en criticidad operativa, obligaciones legales, contractuales y necesidades de recuperación.</w:t>
      </w:r>
    </w:p>
    <w:p>
      <w:pPr>
        <w:pStyle w:val="ListParagraph"/>
        <w:numPr>
          <w:ilvl w:val="0"/>
          <w:numId w:val="1"/>
        </w:numPr>
        <w:spacing w:line="276"/>
        <w:jc w:val="left"/>
      </w:pPr>
      <w:r>
        <w:rPr>
          <w:rFonts w:ascii="Calibri" w:cs="Calibri" w:eastAsia="Calibri" w:hAnsi="Calibri"/>
          <w:b/>
          <w:bCs/>
          <w:color w:val="333333"/>
          <w:sz w:val="20"/>
          <w:szCs w:val="20"/>
        </w:rPr>
        <w:t xml:space="preserve">SENDERO</w:t>
      </w:r>
      <w:r>
        <w:t xml:space="preserve"> </w:t>
      </w:r>
      <w:r>
        <w:rPr>
          <w:rFonts w:ascii="Calibri" w:cs="Calibri" w:eastAsia="Calibri" w:hAnsi="Calibri"/>
          <w:b/>
          <w:bCs/>
          <w:color w:val="333333"/>
          <w:sz w:val="20"/>
          <w:szCs w:val="20"/>
        </w:rPr>
        <w:t xml:space="preserve">FUEL </w:t>
      </w:r>
      <w:r>
        <w:rPr>
          <w:rFonts w:ascii="Calibri" w:cs="Calibri" w:eastAsia="Calibri" w:hAnsi="Calibri"/>
          <w:b w:val="false"/>
          <w:bCs w:val="false"/>
          <w:color w:val="333333"/>
          <w:sz w:val="20"/>
          <w:szCs w:val="20"/>
        </w:rPr>
        <w:t xml:space="preserve">ha definido con el respaldo de información debe ser por un periódo mínimo de </w:t>
      </w:r>
      <w:r>
        <w:rPr>
          <w:rFonts w:ascii="Calibri" w:cs="Calibri" w:eastAsia="Calibri" w:hAnsi="Calibri"/>
          <w:b/>
          <w:bCs/>
          <w:color w:val="333333"/>
          <w:sz w:val="20"/>
          <w:szCs w:val="20"/>
        </w:rPr>
        <w:t xml:space="preserve">3 años</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no deberán conservarse por tiempo indefinido sin justificación operativa, legal o regulatoria.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 vencerse el periodo de resguardo, el respaldo deberá destruirse de manera segura conforme a la presente política.</w:t>
      </w:r>
    </w:p>
    <w:p>
      <w:r>
        <w:t xml:space="preserve"> </w:t>
      </w:r>
    </w:p>
    <w:p>
      <w:pPr>
        <w:pStyle w:val="Heading1"/>
        <w:pBdr>
          <w:bottom w:val="single" w:color="D9D9D9" w:sz="4" w:space="8"/>
        </w:pBdr>
        <w:spacing w:after="200" w:before="400" w:line="240"/>
      </w:pPr>
      <w:bookmarkStart w:name="section_11_destruccion_de_respaldos" w:id="1"/>
      <w:r>
        <w:t xml:space="preserve"/>
      </w:r>
      <w:bookmarkEnd w:id="1"/>
      <w:r>
        <w:rPr>
          <w:rFonts w:ascii="Calibri" w:cs="Calibri" w:eastAsia="Calibri" w:hAnsi="Calibri"/>
          <w:b/>
          <w:bCs/>
          <w:color w:val="000000"/>
          <w:sz w:val="28"/>
          <w:szCs w:val="28"/>
        </w:rPr>
        <w:t xml:space="preserve">12. DESTRUCCIÓN DE RESPALDOS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respaldo que haya concluido su periodo de conservación o que ya no sea requerido deberá destruirse de manera segura.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destrucción deberá impedir el acceso posterior a la información contenida en el respaldo.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destrucción deberá quedar documentada, indicando medio, fecha, método aplicado y responsable.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intervenga un tercero,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conservar evidencia de la destrucción efectuada.</w:t>
      </w:r>
    </w:p>
    <w:p>
      <w:r>
        <w:t xml:space="preserve"> </w:t>
      </w:r>
    </w:p>
    <w:p>
      <w:pPr>
        <w:pStyle w:val="Heading1"/>
        <w:pBdr>
          <w:bottom w:val="single" w:color="D9D9D9" w:sz="4" w:space="8"/>
        </w:pBdr>
        <w:spacing w:after="200" w:before="400" w:line="240"/>
      </w:pPr>
      <w:bookmarkStart w:name="section_12_ubicacion_fisica_de_respaldos_fuera_del_centro_de_datos_y_controles_de_proteccion_de_acceso" w:id="1"/>
      <w:r>
        <w:t xml:space="preserve"/>
      </w:r>
      <w:bookmarkEnd w:id="1"/>
      <w:r>
        <w:rPr>
          <w:rFonts w:ascii="Calibri" w:cs="Calibri" w:eastAsia="Calibri" w:hAnsi="Calibri"/>
          <w:b/>
          <w:bCs/>
          <w:color w:val="000000"/>
          <w:sz w:val="28"/>
          <w:szCs w:val="28"/>
        </w:rPr>
        <w:t xml:space="preserve">13. UBICACIÓN FÍSICA DE RESPALDOS FUERA DEL CENTRO DE DATOS Y CONTROLES DE PROTECCIÓN DE ACCESO</w:t>
      </w:r>
    </w:p>
    <w:p>
      <w:r>
        <w:rPr>
          <w:sz w:val="2"/>
          <w:szCs w:val="2"/>
        </w:rPr>
        <w:t xml:space="preserve"/>
      </w:r>
    </w:p>
    <w:p>
      <w:pPr>
        <w:pStyle w:val="ListParagraph"/>
        <w:numPr>
          <w:ilvl w:val="0"/>
          <w:numId w:val="1"/>
        </w:numPr>
        <w:spacing w:line="276"/>
        <w:jc w:val="left"/>
      </w:pP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 mantener respaldos fuera del centro de datos principal cuando ello sea necesario para la continuidad y recuperación del negocio.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ubicación externa deberá contar con controles físicos y lógicos que limiten el acceso exclusivamente al personal autorizado.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a respaldos fuera del centro de datos deberá quedar restringido por perfiles autorizados y trazabilidad.</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ubicación externa deberá proteger los respaldos contra robo, daño, pérdida, incendio, humedad, acceso no autorizado y otros riesgos aplicables.</w:t>
      </w:r>
    </w:p>
    <w:p>
      <w:r>
        <w:t xml:space="preserve"> </w:t>
      </w:r>
    </w:p>
    <w:p>
      <w:pPr>
        <w:pStyle w:val="Heading1"/>
        <w:pBdr>
          <w:bottom w:val="single" w:color="D9D9D9" w:sz="4" w:space="8"/>
        </w:pBdr>
        <w:spacing w:after="200" w:before="400" w:line="240"/>
      </w:pPr>
      <w:bookmarkStart w:name="section_13_proteccion_de_respaldos_contra_perdida_destruccion_falsificacion_publicacion_no_autorizada_y_acceso_no_autorizado" w:id="1"/>
      <w:r>
        <w:t xml:space="preserve"/>
      </w:r>
      <w:bookmarkEnd w:id="1"/>
      <w:r>
        <w:rPr>
          <w:rFonts w:ascii="Calibri" w:cs="Calibri" w:eastAsia="Calibri" w:hAnsi="Calibri"/>
          <w:b/>
          <w:bCs/>
          <w:color w:val="000000"/>
          <w:sz w:val="28"/>
          <w:szCs w:val="28"/>
        </w:rPr>
        <w:t xml:space="preserve">14. PROTECCIÓN DE RESPALDOS CONTRA PÉRDIDA, DESTRUCCIÓN, FALSIFICACIÓN, PUBLICACIÓN NO AUTORIZADA Y ACCESO NO AUTORIZADO</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Se deberán de tomar las siguientes medidas, a fin de salvaguardar la integridad física del dispositivo de respaldo, así como la información que contenga: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dispositivo de almacenamiento debe encontrarse en un lugar que cuente con medidas de protección contra accesos no autorizados. En el caso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contamos con acceso restringido por medio de un dispositivo automático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dispositivo debe estar vigilado las 24 h del día los 7 días de la semana. En el caso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esto se logra por medio de un circuito cerrado de video vigilancia.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información contenida dentro del dispositivo de almacenamiento deberá de estar cifrados.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dispositivo debe contar con medidas de protección por contraseña para su ingreso.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dispositivo de almacenamiento deberá tener configurado los medios, para generar logs transaccionales, que permitan identificar los accesos al dispositivo.</w:t>
      </w:r>
    </w:p>
    <w:p>
      <w:pPr>
        <w:pStyle w:val="Heading2"/>
        <w:spacing w:after="200" w:before="400" w:line="240"/>
        <w:jc w:val="left"/>
      </w:pPr>
      <w:r>
        <w:rPr>
          <w:rFonts w:ascii="Calibri" w:cs="Calibri" w:eastAsia="Calibri" w:hAnsi="Calibri"/>
          <w:b/>
          <w:bCs/>
          <w:color w:val="000000"/>
          <w:sz w:val="20"/>
          <w:szCs w:val="20"/>
        </w:rPr>
        <w:t xml:space="preserve">Protección de respaldos en sitios de almacenamiento final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dispositivo de almacenamiento debe de estar dentro de un centro de datos.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Contar con videovigilancia 7X24.</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Acceso restringido al área en donde se encuentre el dispositivo de respaldo.</w:t>
      </w:r>
    </w:p>
    <w:p>
      <w:r>
        <w:t xml:space="preserve"> </w:t>
      </w:r>
    </w:p>
    <w:p>
      <w:pPr>
        <w:pStyle w:val="Heading1"/>
        <w:pBdr>
          <w:bottom w:val="single" w:color="D9D9D9" w:sz="4" w:space="8"/>
        </w:pBdr>
        <w:spacing w:after="200" w:before="400" w:line="240"/>
      </w:pPr>
      <w:bookmarkStart w:name="section_14_penalizaciones" w:id="1"/>
      <w:r>
        <w:t xml:space="preserve"/>
      </w:r>
      <w:bookmarkEnd w:id="1"/>
      <w:r>
        <w:rPr>
          <w:rFonts w:ascii="Calibri" w:cs="Calibri" w:eastAsia="Calibri" w:hAnsi="Calibri"/>
          <w:b/>
          <w:bCs/>
          <w:color w:val="000000"/>
          <w:sz w:val="28"/>
          <w:szCs w:val="28"/>
        </w:rPr>
        <w:t xml:space="preserve">15. PENALIZACIONES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El incumplimiento a la presente política podrá derivar en: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Revocación de accesos o privilegios administrativos.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Aplicación de medidas disciplinarias internas conforme a la normatividad laboral y reglamentos internos aplicables.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Responsabilidad contractual o legal cuando el incumplimiento cause afectación a la operación, pérdida de información o incumplimiento regulatorio.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Escalamiento a la Dirección cuando el incumplimiento represente un riesgo alto o crítico.</w:t>
      </w:r>
    </w:p>
    <w:p>
      <w:r>
        <w:t xml:space="preserve"> </w:t>
      </w:r>
    </w:p>
    <w:p>
      <w:pPr>
        <w:pStyle w:val="Heading1"/>
        <w:pBdr>
          <w:bottom w:val="single" w:color="D9D9D9" w:sz="4" w:space="8"/>
        </w:pBdr>
        <w:spacing w:after="200" w:before="400" w:line="240"/>
      </w:pPr>
      <w:bookmarkStart w:name="section_15_situaciones_fortuitas" w:id="1"/>
      <w:r>
        <w:t xml:space="preserve"/>
      </w:r>
      <w:bookmarkEnd w:id="1"/>
      <w:r>
        <w:rPr>
          <w:rFonts w:ascii="Calibri" w:cs="Calibri" w:eastAsia="Calibri" w:hAnsi="Calibri"/>
          <w:b/>
          <w:bCs/>
          <w:color w:val="000000"/>
          <w:sz w:val="28"/>
          <w:szCs w:val="28"/>
        </w:rPr>
        <w:t xml:space="preserve">16. SITUACIONES FORTUITAS</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Ante fallas técnicas, corrupción de medios, imposibilidad de ejecución programada, incidentes de seguridad, desastres o cualquier evento fortuito que comprometa los respaldos,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Notificar al responsable de TI y a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Evaluar el impacto sobre la información y la operación.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Ejecutar medidas de contención y recuperación.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Documentar el evento, sus causas, el impacto y las acciones correctivas.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Actualizar controles, configuraciones o frecuencias cuando sea necesario para evitar recurrencia.</w:t>
      </w:r>
    </w:p>
    <w:p>
      <w:r>
        <w:t xml:space="preserve"> </w:t>
      </w:r>
    </w:p>
    <w:p>
      <w:pPr>
        <w:pStyle w:val="Heading1"/>
        <w:pBdr>
          <w:bottom w:val="single" w:color="D9D9D9" w:sz="4" w:space="8"/>
        </w:pBdr>
        <w:spacing w:after="200" w:before="400" w:line="240"/>
      </w:pPr>
      <w:bookmarkStart w:name="section_16_control_de_acceso_a_respaldos" w:id="1"/>
      <w:r>
        <w:t xml:space="preserve"/>
      </w:r>
      <w:bookmarkEnd w:id="1"/>
      <w:r>
        <w:rPr>
          <w:rFonts w:ascii="Calibri" w:cs="Calibri" w:eastAsia="Calibri" w:hAnsi="Calibri"/>
          <w:b/>
          <w:bCs/>
          <w:color w:val="000000"/>
          <w:sz w:val="28"/>
          <w:szCs w:val="28"/>
        </w:rPr>
        <w:t xml:space="preserve">17. CONTROL DE ACCESO A RESPALDOS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acceso a consolas, medios, repositorios o archivos de respaldo deberá otorgarse bajo el principio de mínimo privilegio.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Sólo el personal autorizado podrá consultar, mover, restaurar, copiar o destruir respaldos.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 actividad relevante sobre respaldos deberá quedar registrada cuando técnicamente sea posible.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accesos deberán revisarse periódicamente y revocarse de inmediato cuando dejen de ser necesarios.</w:t>
      </w:r>
    </w:p>
    <w:p>
      <w:r>
        <w:t xml:space="preserve"> </w:t>
      </w:r>
    </w:p>
    <w:p>
      <w:pPr>
        <w:pStyle w:val="Heading1"/>
        <w:pBdr>
          <w:bottom w:val="single" w:color="D9D9D9" w:sz="4" w:space="8"/>
        </w:pBdr>
        <w:spacing w:after="200" w:before="400" w:line="240"/>
      </w:pPr>
      <w:bookmarkStart w:name="section_17_principios_generales" w:id="1"/>
      <w:r>
        <w:t xml:space="preserve"/>
      </w:r>
      <w:bookmarkEnd w:id="1"/>
      <w:r>
        <w:rPr>
          <w:rFonts w:ascii="Calibri" w:cs="Calibri" w:eastAsia="Calibri" w:hAnsi="Calibri"/>
          <w:b/>
          <w:bCs/>
          <w:color w:val="000000"/>
          <w:sz w:val="28"/>
          <w:szCs w:val="28"/>
        </w:rPr>
        <w:t xml:space="preserve">18. PRINCIPIOS GENERALES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respaldo deberá responder a una necesidad operativa, legal, contractual o de continuidad del negocio.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deberán protegerse contra acceso no autorizado, alteración, pérdida, destrucción o divulgación indebida.</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deberán almacenarse únicamente en medios y ubicaciones previamente autorizados.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 restauración de respaldos deberá poder realizarse dentro de tiempos razonables de recuperación definidos por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Los respaldos deberán mantenerse inventariados, identificados y sujetos a controles de acceso y trazabilidad.</w:t>
      </w:r>
    </w:p>
    <w:p>
      <w:r>
        <w:t xml:space="preserve"> </w:t>
      </w:r>
    </w:p>
    <w:p>
      <w:pPr>
        <w:pStyle w:val="Heading1"/>
        <w:pBdr>
          <w:bottom w:val="single" w:color="D9D9D9" w:sz="4" w:space="8"/>
        </w:pBdr>
        <w:spacing w:after="200" w:before="400" w:line="240"/>
      </w:pPr>
      <w:bookmarkStart w:name="section_18_periodicidad_de_revision" w:id="1"/>
      <w:r>
        <w:t xml:space="preserve"/>
      </w:r>
      <w:bookmarkEnd w:id="1"/>
      <w:r>
        <w:rPr>
          <w:rFonts w:ascii="Calibri" w:cs="Calibri" w:eastAsia="Calibri" w:hAnsi="Calibri"/>
          <w:b/>
          <w:bCs/>
          <w:color w:val="000000"/>
          <w:sz w:val="28"/>
          <w:szCs w:val="28"/>
        </w:rPr>
        <w:t xml:space="preserve">19.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19_glosario" w:id="1"/>
      <w:r>
        <w:rPr>
          <w:rFonts w:ascii="Calibri" w:cs="Calibri" w:eastAsia="Calibri" w:hAnsi="Calibri"/>
          <w:b/>
          <w:bCs/>
          <w:color w:val="000000"/>
          <w:sz w:val="28"/>
          <w:szCs w:val="28"/>
        </w:rPr>
        <w:t xml:space="preserve">20.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respaldos de la persona moral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20/4/2026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PO-SF-014</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respaldos de la persona moral</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20/4/2026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respaldos de la persona moral</dc:title>
  <dc:subject>Poltica</dc:subject>
  <dc:creator>Administrador MAPLINKS</dc:creator>
  <cp:keywords>PO-SF-014</cp:keywords>
  <dc:description>Documento PO-SF-014</dc:description>
  <cp:lastModifiedBy>Administrador MAPLINKS</cp:lastModifiedBy>
  <cp:revision>1</cp:revision>
  <dcterms:created xsi:type="dcterms:W3CDTF">2026-09-30T21:33:43.716Z</dcterms:created>
  <dcterms:modified xsi:type="dcterms:W3CDTF">2026-09-30T21:33:43.716Z</dcterms:modified>
</cp:coreProperties>
</file>

<file path=docProps/custom.xml><?xml version="1.0" encoding="utf-8"?>
<Properties xmlns="http://schemas.openxmlformats.org/officeDocument/2006/custom-properties" xmlns:vt="http://schemas.openxmlformats.org/officeDocument/2006/docPropsVTypes"/>
</file>