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estudio de capacidad tecnológica, de personal e instalaciones es el documento mediante el cual se evalúa si los recursos tecnológicos, humanos y físicos disponibles son suficientes para operar 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de combustibles de forma segura, continua y trazable durante el ejercicio fiscal evaluado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Determinar y documentar la suficiencia de la capacidad tecnológica, de personal e instalaciones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soportar la operación del monedero electrónico de combustibles durante el ejercicio 2026, considerando el crecimiento proyectado, la infraestructura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el sitio alterno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los procesos críticos de autorización de transacciones y compensación/liquidación, así como los controles de continuidad, respaldo y soporte.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presente estudio aplica a los procesos, </w:t>
      </w:r>
      <w:r>
        <w:rPr>
          <w:rFonts w:ascii="Calibri" w:cs="Calibri" w:eastAsia="Calibri" w:hAnsi="Calibri"/>
          <w:b/>
          <w:bCs/>
          <w:color w:val="333333"/>
          <w:sz w:val="20"/>
          <w:szCs w:val="20"/>
        </w:rPr>
        <w:t xml:space="preserve">activos</w:t>
      </w: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personal</w:t>
      </w: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instalaciones</w:t>
      </w: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servicios de soporte</w:t>
      </w: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proveedores tecnológicos </w:t>
      </w:r>
      <w:r>
        <w:rPr>
          <w:rFonts w:ascii="Calibri" w:cs="Calibri" w:eastAsia="Calibri" w:hAnsi="Calibri"/>
          <w:b w:val="false"/>
          <w:bCs w:val="false"/>
          <w:color w:val="333333"/>
          <w:sz w:val="20"/>
          <w:szCs w:val="20"/>
        </w:rPr>
        <w:t xml:space="preserve">y evidencias relacionados con la operación del monedero electrónico de combustibles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alcance considera ambientes de producción, pruebas, desarrollo, mesa de servicio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 centro de datos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centro de datos alterno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y operación remota del personal clave.</w:t>
      </w:r>
    </w:p>
    <w:p>
      <w:pPr>
        <w:spacing w:after="120" w:before="0" w:line="276"/>
        <w:jc w:val="left"/>
      </w:pPr>
      <w:r>
        <w:rPr>
          <w:rFonts w:ascii="Calibri" w:cs="Calibri" w:eastAsia="Calibri" w:hAnsi="Calibri"/>
          <w:b w:val="false"/>
          <w:bCs w:val="false"/>
          <w:color w:val="333333"/>
          <w:sz w:val="20"/>
          <w:szCs w:val="20"/>
        </w:rPr>
        <w:t xml:space="preserve">Debido a que al corte de elaboración del presente estudio el monedero no cuenta con clientes en operación productiva, los valores de consumo actual y proyección técnica son estimaciones razonables basadas en la capacidad instalada, el giro de negocio, la infraestructura disponible y prácticas de mercado para plataformas transaccionales de monedero electrónico de combustibles.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metodologia_de_evaluacion" w:id="1"/>
      <w:r>
        <w:t xml:space="preserve"/>
      </w:r>
      <w:bookmarkEnd w:id="1"/>
      <w:r>
        <w:rPr>
          <w:rFonts w:ascii="Calibri" w:cs="Calibri" w:eastAsia="Calibri" w:hAnsi="Calibri"/>
          <w:b/>
          <w:bCs/>
          <w:color w:val="000000"/>
          <w:sz w:val="28"/>
          <w:szCs w:val="28"/>
        </w:rPr>
        <w:t xml:space="preserve">5. METODOLOGÍA DE EVALUACIÓN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evaluación de capacidad se realizó considerando cuatro dimensiones: </w:t>
      </w:r>
      <w:r>
        <w:rPr>
          <w:rFonts w:ascii="Calibri" w:cs="Calibri" w:eastAsia="Calibri" w:hAnsi="Calibri"/>
          <w:b/>
          <w:bCs/>
          <w:color w:val="333333"/>
          <w:sz w:val="20"/>
          <w:szCs w:val="20"/>
        </w:rPr>
        <w:t xml:space="preserve">tecnología, personal, instalaciones y soporte de terceros</w:t>
      </w:r>
      <w:r>
        <w:rPr>
          <w:rFonts w:ascii="Calibri" w:cs="Calibri" w:eastAsia="Calibri" w:hAnsi="Calibri"/>
          <w:b w:val="false"/>
          <w:bCs w:val="false"/>
          <w:color w:val="333333"/>
          <w:sz w:val="20"/>
          <w:szCs w:val="20"/>
        </w:rPr>
        <w:t xml:space="preserve">. En cada dimensión se identificaron recursos actuales, demanda operativa esperada, umbrales de aceptación, riesgos de saturación y suficiencia para el ejercicio fiscal 2026.</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Dimensión</w:t>
            </w:r>
          </w:p>
        </w:tc>
        <w:tc>
          <w:tcPr>
            <w:tcW w:type="dxa" w:w="3413"/>
            <w:shd w:fill="2f5e9e" w:color="auto" w:val="clear"/>
            <w:tcMar>
              <w:top w:type="dxa" w:w="100"/>
              <w:left w:type="dxa" w:w="80"/>
              <w:bottom w:type="dxa" w:w="100"/>
              <w:right w:type="dxa" w:w="80"/>
            </w:tcMar>
            <w:vAlign w:val="center"/>
          </w:tcPr>
          <w:p>
            <w:pPr>
              <w:jc w:val="left"/>
            </w:pPr>
            <w:r>
              <w:rPr>
                <w:rFonts w:ascii="Calibri" w:cs="Calibri" w:eastAsia="Calibri" w:hAnsi="Calibri"/>
                <w:b/>
                <w:bCs/>
                <w:color w:val="F0F0F0"/>
                <w:sz w:val="18"/>
                <w:szCs w:val="18"/>
              </w:rPr>
              <w:t xml:space="preserve">Criterios evaluados</w:t>
            </w:r>
          </w:p>
        </w:tc>
        <w:tc>
          <w:tcPr>
            <w:tcW w:type="dxa" w:w="3414"/>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Resultado esperado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Tecnología</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CPU, memoria, almacenamiento, IOPS, latencia, disponibilidad, replicación, respaldos y separación de ambientes.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Determinar si la infraestructura soporta el crecimiento proyectado.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Personal</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Cobertura por proceso, roles, soporte remoto, atención a clientes, crédito/cobranza, afiliadas y seguridad.</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Confirmar si el personal actual soporta 2026.</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Instalaciones</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de oficinas, sitio principal, sitio alterno, seguridad física, energía, conectividad y trabajo remoto.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Confirmar suficiencia de instalaciones físicas y remotas.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Soporte de terceros</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SLA, escalamiento, soporte ENERFUEL TECH, GLPI y obligaciones contractuales.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Confirmar capacidad de respuesta ante incidentes y crecimiento.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5_descripcion_del_ambiente_actual" w:id="1"/>
      <w:r>
        <w:t xml:space="preserve"/>
      </w:r>
      <w:bookmarkEnd w:id="1"/>
      <w:r>
        <w:rPr>
          <w:rFonts w:ascii="Calibri" w:cs="Calibri" w:eastAsia="Calibri" w:hAnsi="Calibri"/>
          <w:b/>
          <w:bCs/>
          <w:color w:val="000000"/>
          <w:sz w:val="28"/>
          <w:szCs w:val="28"/>
        </w:rPr>
        <w:t xml:space="preserve">6. DESCRIPCIÓN DEL AMBIENTE ACTUAL</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inventario de activos considerado contiene 39 activos relacionados con la operación, seguridad, soporte y continuidad del monedero electrónico. Del total, 20 activos se ubican o relacionan con el centro de datos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17 activos se ubican o relacionan con el centro de datos alterno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y 2 activos se relacionan con la oficina administrativa.</w:t>
      </w:r>
    </w:p>
    <w:p>
      <w:pPr>
        <w:spacing w:after="120" w:before="0" w:line="276"/>
        <w:jc w:val="both"/>
      </w:pPr>
      <w:r>
        <w:rPr>
          <w:rFonts w:ascii="Calibri" w:cs="Calibri" w:eastAsia="Calibri" w:hAnsi="Calibri"/>
          <w:b w:val="false"/>
          <w:bCs w:val="false"/>
          <w:color w:val="333333"/>
          <w:sz w:val="20"/>
          <w:szCs w:val="20"/>
        </w:rPr>
        <w:t xml:space="preserve">Los procesos críticos definidos para la evaluación son: autorización de transacciones y compensación/liquidación. Asimismo, se consideran críticos los activos del centro de datos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y sus réplicas o equivalentes en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conforme a la arquitectura de alta disponibilidad y recuperación documentada 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Activo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Descripción</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Ubicación</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Estado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GLPI</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Software para la gestión del Help Desk</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SOPHOS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Monitoreo/Antivirus/XDR</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SW-HP-NGX-01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Switch Core, interconecta todos los dispositivos del centro de datos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FW-FTNET-NGX-01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Firewall perimetral, gestiona los enlaces de Intrnet, IDS, IPS, Filtrado web, etc</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SW-HP-ASSTEL-01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Switch Core, interconecta todos los dispositivos del centro de datos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FW-ASSETEL-NGX-01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Firewall perimetral, gestiona los enlaces de Intrnet, IDS, IPS, Filtrado web, etc</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SW-ARUBA-2930</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Switch Core, interconecta todos los dispositivos del centro de datos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Oficina administrativa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FW-FG200f-03</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Firewall perimetral, gestiona los enlaces de Intrnet, IDS, IPS, Filtrado web, etc</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Oficina administrativa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HST-PRLN-02</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HST-PRLN-03</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bl>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STR-MSA-01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Dispositivo de Almacenamiento de datos de red ISCSI, almacena las VM de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VLT-SONCE-01</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Almacenameinto inmutable de respaldos para máquinas virtuales de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HST-PRLN-04</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HST-PRLN-05</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HST-PRLN-06</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 de virtualizacion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STR-MSA-02</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Dispositivo de Almacenamiento de datos de red ISCSI, almacena las VM de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VLT-SONCE-02</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Almacenameinto inmutable de respaldos para máquinas virtuales de VMWare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SRV-MON-DB-PR</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Servidor de Produccion de Base de Datos de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SRV-MON-APP-PR</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Servidor de Produccion de Aplicacion de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SRV-MON-DB-QA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Servidor de Pruebas de Base de Datos de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SRV-MON-APP-QA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Servidor de Pruebas de Aplicaion de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capacidad_tecnologica_instalada" w:id="1"/>
      <w:r>
        <w:t xml:space="preserve"/>
      </w:r>
      <w:bookmarkEnd w:id="1"/>
      <w:r>
        <w:rPr>
          <w:rFonts w:ascii="Calibri" w:cs="Calibri" w:eastAsia="Calibri" w:hAnsi="Calibri"/>
          <w:b/>
          <w:bCs/>
          <w:color w:val="000000"/>
          <w:sz w:val="28"/>
          <w:szCs w:val="28"/>
        </w:rPr>
        <w:t xml:space="preserve">7. CAPACIDAD TECNOLÓGICA INSTALADA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plataforma opera sobre infraestructura virtualizada VMware con centro de datos principal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y centro de datos alterno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en modalidad standby. Con base en el inventario y la configuración típica de los equipos identificados, se utiliza la siguiente estimación de capacidad para efectos de evaluación 2026:</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Centro de datos NGX</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Centro de datos ASSETEL</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Evaluación</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Hosts de virtualización</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hosts HPE DL360 G10 estimados con 2 CPU físicas y 24 cores por host; memoria estimada total 1.5 TB.</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hosts HPE DL380 G10 estimados con 2 CPU físicas y 20 cores por host; memoria estimada total 1.4 TB.</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para 2026.</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Almacenamiento primario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HPE MSA 2060, capacidad estimada 40 TB útiles.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HPE MSA 2060, capacidad estimada 30 TB útiles.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crecimiento 2026 estimado menor a 0.2 TB.</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Respaldos inmutables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HPE StoreOnce 3660 / 30 TB.</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HPE StoreOnce 3660 / 30 TB.</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para política PO-SF-014.</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perimetral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Fortigate 200F, switch core HP FlexFabric.</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Fortigate 300E, switch core HP FlexFabric.</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requiere evidencias de monitoreo.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GLPI en 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Réplica GLPI en ASSETEL standby.</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para registro de incidentes y problemas.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7_asignacion_estimada_a_servidores_del_monedero" w:id="1"/>
      <w:r>
        <w:t xml:space="preserve"/>
      </w:r>
      <w:bookmarkEnd w:id="1"/>
      <w:r>
        <w:rPr>
          <w:rFonts w:ascii="Calibri" w:cs="Calibri" w:eastAsia="Calibri" w:hAnsi="Calibri"/>
          <w:b/>
          <w:bCs/>
          <w:color w:val="000000"/>
          <w:sz w:val="28"/>
          <w:szCs w:val="28"/>
        </w:rPr>
        <w:t xml:space="preserve">8. ASIGNACIÓN ESTIMADA A SERVIDORES DEL MONEDERO</w:t>
      </w:r>
    </w:p>
    <w:p>
      <w:r>
        <w:rPr>
          <w:sz w:val="2"/>
          <w:szCs w:val="2"/>
        </w:rPr>
        <w:t xml:space="preserve"/>
      </w:r>
    </w:p>
    <w:p>
      <w:r>
        <w:t xml:space="preserve"> </w:t>
      </w:r>
    </w:p>
    <w:p>
      <w:pPr>
        <w:pStyle w:val="Heading1"/>
        <w:pBdr>
          <w:bottom w:val="single" w:color="D9D9D9" w:sz="4" w:space="8"/>
        </w:pBdr>
        <w:spacing w:after="200" w:before="400" w:line="240"/>
      </w:pPr>
      <w:bookmarkStart w:name="section_8_proyeccion_operativa_2026" w:id="1"/>
      <w:r>
        <w:t xml:space="preserve"/>
      </w:r>
      <w:bookmarkEnd w:id="1"/>
      <w:r>
        <w:rPr>
          <w:rFonts w:ascii="Calibri" w:cs="Calibri" w:eastAsia="Calibri" w:hAnsi="Calibri"/>
          <w:b/>
          <w:bCs/>
          <w:color w:val="000000"/>
          <w:sz w:val="28"/>
          <w:szCs w:val="28"/>
        </w:rPr>
        <w:t xml:space="preserve">9. PROYECCIÓN OPERATIVA 2026</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proyección parte de operación sin clientes actuales y considera crecimiento mensual de 1</w:t>
      </w:r>
      <w:r>
        <w:rPr>
          <w:rFonts w:ascii="Calibri" w:cs="Calibri" w:eastAsia="Calibri" w:hAnsi="Calibri"/>
          <w:b/>
          <w:bCs/>
          <w:color w:val="333333"/>
          <w:sz w:val="20"/>
          <w:szCs w:val="20"/>
        </w:rPr>
        <w:t xml:space="preserve">00 clientes y 10 estaciones afiliadas.</w:t>
      </w:r>
      <w:r>
        <w:rPr>
          <w:rFonts w:ascii="Calibri" w:cs="Calibri" w:eastAsia="Calibri" w:hAnsi="Calibri"/>
          <w:b w:val="false"/>
          <w:bCs w:val="false"/>
          <w:color w:val="333333"/>
          <w:sz w:val="20"/>
          <w:szCs w:val="20"/>
        </w:rPr>
        <w:t xml:space="preserve"> Para efectos de dimensionamiento se estima un promedio de </w:t>
      </w:r>
      <w:r>
        <w:rPr>
          <w:rFonts w:ascii="Calibri" w:cs="Calibri" w:eastAsia="Calibri" w:hAnsi="Calibri"/>
          <w:b/>
          <w:bCs/>
          <w:color w:val="333333"/>
          <w:sz w:val="20"/>
          <w:szCs w:val="20"/>
        </w:rPr>
        <w:t xml:space="preserve">12 monederos por cliente y 8.6 transacciones mensuales por monedero activo</w:t>
      </w:r>
      <w:r>
        <w:rPr>
          <w:rFonts w:ascii="Calibri" w:cs="Calibri" w:eastAsia="Calibri" w:hAnsi="Calibri"/>
          <w:b w:val="false"/>
          <w:bCs w:val="false"/>
          <w:color w:val="333333"/>
          <w:sz w:val="20"/>
          <w:szCs w:val="20"/>
        </w:rPr>
        <w:t xml:space="preserve">. Estos valores son estimaciones conservadoras para un software de monedero electrónico de combustibles en etapa de arranque.</w:t>
      </w:r>
    </w:p>
    <w:p>
      <w:pPr>
        <w:spacing w:after="120" w:before="0" w:line="276"/>
        <w:jc w:val="left"/>
      </w:pPr>
      <w:r>
        <w:rPr>
          <w:rFonts w:ascii="Calibri" w:cs="Calibri" w:eastAsia="Calibri" w:hAnsi="Calibri"/>
          <w:b w:val="false"/>
          <w:bCs w:val="false"/>
          <w:color w:val="333333"/>
          <w:sz w:val="20"/>
          <w:szCs w:val="20"/>
        </w:rPr>
        <w:t xml:space="preserve">Resultado técnico: bajo los supuestos anteriores, la demanda transaccional proyectada para diciembre de 2026 se mantiene dentro de una carga baja a moderada para la infraestructura instalada. La base de datos, logs, bitácoras y respaldos no representan saturación esperada durante 2026.</w:t>
      </w:r>
    </w:p>
    <w:p>
      <w:r>
        <w:t xml:space="preserve"> </w:t>
      </w:r>
    </w:p>
    <w:p>
      <w:pPr>
        <w:pStyle w:val="Heading1"/>
        <w:pBdr>
          <w:bottom w:val="single" w:color="D9D9D9" w:sz="4" w:space="8"/>
        </w:pBdr>
        <w:spacing w:after="200" w:before="400" w:line="240"/>
      </w:pPr>
      <w:bookmarkStart w:name="section_9_capacidad_de_personal" w:id="1"/>
      <w:r>
        <w:t xml:space="preserve"/>
      </w:r>
      <w:bookmarkEnd w:id="1"/>
      <w:r>
        <w:rPr>
          <w:rFonts w:ascii="Calibri" w:cs="Calibri" w:eastAsia="Calibri" w:hAnsi="Calibri"/>
          <w:b/>
          <w:bCs/>
          <w:color w:val="000000"/>
          <w:sz w:val="28"/>
          <w:szCs w:val="28"/>
        </w:rPr>
        <w:t xml:space="preserve">10. CAPACIDAD DE PERSONAL</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Con base en el organigrama y la operación proyectada,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estima que el personal actual soporta la operación del ejercicio 2026. El crecimiento de nuevos colaboradores, de requerirse, será preferentemente remoto, por lo que no se proyecta necesidad inmediata de ampliación física de oficinas.</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Proceso / área</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Responsable(s)</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Puesto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Evaluación de capacidad 2026</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 coordinación general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ROMINA MONSERRAT BARBOSA APODACA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Gerente General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2026; funge como enlace operativo con ENERFUEL TECH.</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Ventas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IVAN CRUZ PONCE</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Gerente Jr. Ventas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crecimiento estimado de 100 clientes mensuales con apoyo remoto.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Mantenimiento de cartera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RAÚL ERNESTO GALINDO / ALEJANDRO GARCÍA RODRÍGUEZ</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 Ejecutivo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seguimiento de cartera 2026.</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Afiliadas / estaciones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VALERIA NAOMI CURIEL TRINIDAD</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Analista Afiliadas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10 estaciones mensuales; automatización y soporte remoto.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Atención a clientes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RAMÓN GABRIEL SALAZAR ROCHA / JESSICA DAFHNEE PÉREZ SANTA ANA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 Analista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etapa inicial; crecimiento se absorberá con trabajo remoto.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Crédito y cobranza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FRANCISCO RICARDO LÓPEZ DIMAS / TERESA ANGÉLICA MARTÍNEZ CÁRDENAS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 Analista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para 2026 bajo el volumen proyectado.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de la información</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AXEL MARTÍNEZ RENTERÍA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suficiente; coordinación con PR-SF-021, BCP, DRP y GLPI.</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Soporte tecnológico externo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ENERFUEL TECH / Ingeniero de operaciones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tecnológico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SLA estimado de mercado; notificación de incidentes críticos al CLIENTE en máximo 2 horas.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0_capacidad_de_instalaciones" w:id="1"/>
      <w:r>
        <w:t xml:space="preserve"/>
      </w:r>
      <w:bookmarkEnd w:id="1"/>
      <w:r>
        <w:rPr>
          <w:rFonts w:ascii="Calibri" w:cs="Calibri" w:eastAsia="Calibri" w:hAnsi="Calibri"/>
          <w:b/>
          <w:bCs/>
          <w:color w:val="000000"/>
          <w:sz w:val="28"/>
          <w:szCs w:val="28"/>
        </w:rPr>
        <w:t xml:space="preserve">11. CAPACIDAD DE INSTALACIONES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capacidad de instalaciones se evalúa considerando tres componentes: centro de datos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centro de datos alterno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y oficinas administrativas. La operación tecnológica crítica se concentra en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y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la operación administrativa puede mantenerse presencial o remota conforme a los controles de trabajo remoto, VPN, MFA y protección de equipos.</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Instalación</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Capacidad estimada</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Resultado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NGX</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principal para operación productiva del monedero.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de cómputo, almacenamiento y seguridad suficiente para 2026.</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Centro de datos alterno standby y recuperación de desastres.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Infraestructura espejo en standby para activación en caso de contingencia.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Oficina administrativa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Operación comercial, atención, cobranza, afiliadas y coordinación.</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para personal actual; nuevas posiciones se cubrirán de forma remota.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Apto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Trabajo remoto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Continuidad operativa y soporte a colaboradores autorizados.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VPN, MFA, políticas de seguridad y registro de autorizaciones.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Apto con revisión trimestral</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1_sla_y_soporte_tecnologico" w:id="1"/>
      <w:r>
        <w:t xml:space="preserve"/>
      </w:r>
      <w:bookmarkEnd w:id="1"/>
      <w:r>
        <w:rPr>
          <w:rFonts w:ascii="Calibri" w:cs="Calibri" w:eastAsia="Calibri" w:hAnsi="Calibri"/>
          <w:b/>
          <w:bCs/>
          <w:color w:val="000000"/>
          <w:sz w:val="28"/>
          <w:szCs w:val="28"/>
        </w:rPr>
        <w:t xml:space="preserve">12. SLA Y SOPORTE TECNOLÓGICO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soporte del software de monedero electrónico se coordina con </w:t>
      </w:r>
      <w:r>
        <w:rPr>
          <w:rFonts w:ascii="Calibri" w:cs="Calibri" w:eastAsia="Calibri" w:hAnsi="Calibri"/>
          <w:b/>
          <w:bCs/>
          <w:color w:val="333333"/>
          <w:sz w:val="20"/>
          <w:szCs w:val="20"/>
        </w:rPr>
        <w:t xml:space="preserve">ENERFUEL TECH </w:t>
      </w:r>
      <w:r>
        <w:rPr>
          <w:rFonts w:ascii="Calibri" w:cs="Calibri" w:eastAsia="Calibri" w:hAnsi="Calibri"/>
          <w:b w:val="false"/>
          <w:bCs w:val="false"/>
          <w:color w:val="333333"/>
          <w:sz w:val="20"/>
          <w:szCs w:val="20"/>
        </w:rPr>
        <w:t xml:space="preserve">y se registra mediante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 Para la evaluación de capacidad se adoptan SLA estándar de mercado para plataformas transaccionales críticas, sujetos a confirmación contractual y operativa.</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2048"/>
        <w:gridCol w:w="2048"/>
        <w:gridCol w:w="2048"/>
        <w:gridCol w:w="2048"/>
      </w:tblGrid>
      <w:tr>
        <w:trPr>
          <w:cantSplit w:val="false"/>
        </w:trPr>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Prioridad</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Criterio</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Respuesta inicial</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Contención</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Resolución / recuperación</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P1 Crítico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Indisponibilidad del monedero, base de datos o transacciones</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P2 Alto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Degradación severa, intermitencia, falla en módulo relevante</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P3 Medio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Falla parcial sin impacto generalizado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P4 Bajo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Solicitud operativa, mejora, consulta o ajuste menor</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 programar</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r>
    </w:tbl>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Cualquier incidente tecnológico que afecte o pueda afectar la confidencialidad, integridad o disponibilidad de información de contribuyentes debe ser registrado en GLPI y evaluado conforme al </w:t>
      </w:r>
      <w:r>
        <w:rPr>
          <w:rFonts w:ascii="Calibri" w:cs="Calibri" w:eastAsia="Calibri" w:hAnsi="Calibri"/>
          <w:b/>
          <w:bCs/>
          <w:color w:val="333333"/>
          <w:sz w:val="20"/>
          <w:szCs w:val="20"/>
        </w:rPr>
        <w:t xml:space="preserve">PR-SF-021</w:t>
      </w:r>
      <w:r>
        <w:rPr>
          <w:rFonts w:ascii="Calibri" w:cs="Calibri" w:eastAsia="Calibri" w:hAnsi="Calibri"/>
          <w:b w:val="false"/>
          <w:bCs w:val="false"/>
          <w:color w:val="333333"/>
          <w:sz w:val="20"/>
          <w:szCs w:val="20"/>
        </w:rPr>
        <w:t xml:space="preserve">. Si corresponde, se activa el </w:t>
      </w:r>
      <w:r>
        <w:rPr>
          <w:rFonts w:ascii="Calibri" w:cs="Calibri" w:eastAsia="Calibri" w:hAnsi="Calibri"/>
          <w:b/>
          <w:bCs/>
          <w:color w:val="333333"/>
          <w:sz w:val="20"/>
          <w:szCs w:val="20"/>
        </w:rPr>
        <w:t xml:space="preserve">PR-SF-001</w:t>
      </w:r>
      <w:r>
        <w:rPr>
          <w:rFonts w:ascii="Calibri" w:cs="Calibri" w:eastAsia="Calibri" w:hAnsi="Calibri"/>
          <w:b w:val="false"/>
          <w:bCs w:val="false"/>
          <w:color w:val="333333"/>
          <w:sz w:val="20"/>
          <w:szCs w:val="20"/>
        </w:rPr>
        <w:t xml:space="preserve"> de comunicación de incidentes al SAT.</w:t>
      </w:r>
    </w:p>
    <w:p>
      <w:r>
        <w:t xml:space="preserve"> </w:t>
      </w:r>
    </w:p>
    <w:p>
      <w:pPr>
        <w:pStyle w:val="Heading1"/>
        <w:pBdr>
          <w:bottom w:val="single" w:color="D9D9D9" w:sz="4" w:space="8"/>
        </w:pBdr>
        <w:spacing w:after="200" w:before="400" w:line="240"/>
      </w:pPr>
      <w:bookmarkStart w:name="section_12_umbrales_de_monitoreo" w:id="1"/>
      <w:r>
        <w:t xml:space="preserve"/>
      </w:r>
      <w:bookmarkEnd w:id="1"/>
      <w:r>
        <w:rPr>
          <w:rFonts w:ascii="Calibri" w:cs="Calibri" w:eastAsia="Calibri" w:hAnsi="Calibri"/>
          <w:b/>
          <w:bCs/>
          <w:color w:val="000000"/>
          <w:sz w:val="28"/>
          <w:szCs w:val="28"/>
        </w:rPr>
        <w:t xml:space="preserve">13. UMBRALES DE MONITOREO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Los umbrales siguientes se adoptan como referencia interna de capacidad. La superación de umbrales de alerta exige análisis de tendencia; la superación de umbrales críticos exige plan de acción documentado en </w:t>
      </w:r>
      <w:r>
        <w:rPr>
          <w:rFonts w:ascii="Calibri" w:cs="Calibri" w:eastAsia="Calibri" w:hAnsi="Calibri"/>
          <w:b/>
          <w:bCs/>
          <w:color w:val="333333"/>
          <w:sz w:val="20"/>
          <w:szCs w:val="20"/>
        </w:rPr>
        <w:t xml:space="preserve">FO-SF-115</w:t>
      </w:r>
      <w:r>
        <w:rPr>
          <w:rFonts w:ascii="Calibri" w:cs="Calibri" w:eastAsia="Calibri" w:hAnsi="Calibri"/>
          <w:b w:val="false"/>
          <w:bCs w:val="false"/>
          <w:color w:val="333333"/>
          <w:sz w:val="20"/>
          <w:szCs w:val="20"/>
        </w:rPr>
        <w:t xml:space="preserv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Métrica</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Objetivo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Alerta</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Crítico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CPU clúster NGX / ASSETEL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70%-85%</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&gt;85% sostenido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Memoria RAM clúster</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75%-85%</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&gt;85% sostenido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Almacenamiento MSA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80%-90%</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&gt;90%</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IOPS almacenamiento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60%-80%</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&gt;80%</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Latencia disco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10-20 ms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&gt;20 ms sostenido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Disponibilidad del servicio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 99.5% mensual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99.0%-99.49%</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Tiempo respuesta API/portal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2-4 segundos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&gt;4 segundos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Tickets críticos GLPI</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Cierre conforme SLA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 desviación menor</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Desviación crítica o repetitiva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3_resultados_de_evaluacion_anual" w:id="1"/>
      <w:r>
        <w:t xml:space="preserve"/>
      </w:r>
      <w:bookmarkEnd w:id="1"/>
      <w:r>
        <w:rPr>
          <w:rFonts w:ascii="Calibri" w:cs="Calibri" w:eastAsia="Calibri" w:hAnsi="Calibri"/>
          <w:b/>
          <w:bCs/>
          <w:color w:val="000000"/>
          <w:sz w:val="28"/>
          <w:szCs w:val="28"/>
        </w:rPr>
        <w:t xml:space="preserve">14. RESULTADOS DE EVALUACIÓN ANUAL</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Componente</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Resultado 2026</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Riesgo residual</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Acción</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tecnológica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con base en estimaciones y capacidad instalada.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Bajo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monitoreo y anexar evidencias mensuales.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de personal</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para el crecimiento proyectado 2026.</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Bajo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Reevaluar si el crecimiento supera 100 clientes/mes o 10 estaciones/mes.</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Capacidad de instalaciones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nuevas contrataciones en modalidad remota.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Bajo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controles de trabajo remoto, VPN y MFA.</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Soporte de terceros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Suficiente bajo SLA estándar y obligación de notificación de incidentes.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Medio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Confirmar y conservar evidencia de SLA, tickets y reportes de ENERFUEL TECH.</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Monitoreo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Pendiente de adjuntar evidencias por no existir operación productiva con clientes.</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Medio</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Anexar capturas de monitoreo cuando inicie operación.</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4_evidencias_de_monitoreo" w:id="1"/>
      <w:r>
        <w:t xml:space="preserve"/>
      </w:r>
      <w:bookmarkEnd w:id="1"/>
      <w:r>
        <w:rPr>
          <w:rFonts w:ascii="Calibri" w:cs="Calibri" w:eastAsia="Calibri" w:hAnsi="Calibri"/>
          <w:b/>
          <w:bCs/>
          <w:color w:val="000000"/>
          <w:sz w:val="28"/>
          <w:szCs w:val="28"/>
        </w:rPr>
        <w:t xml:space="preserve">15. EVIDENCIAS DE MONITOREO</w:t>
      </w:r>
    </w:p>
    <w:p>
      <w:r>
        <w:rPr>
          <w:sz w:val="2"/>
          <w:szCs w:val="2"/>
        </w:rPr>
        <w:t xml:space="preserve"/>
      </w:r>
    </w:p>
    <w:p>
      <w:r>
        <w:t xml:space="preserve"> </w:t>
      </w:r>
    </w:p>
    <w:p>
      <w:pPr>
        <w:pStyle w:val="Heading1"/>
        <w:pBdr>
          <w:bottom w:val="single" w:color="D9D9D9" w:sz="4" w:space="8"/>
        </w:pBdr>
        <w:spacing w:after="200" w:before="400" w:line="240"/>
      </w:pPr>
      <w:bookmarkStart w:name="section_15_conclusiones" w:id="1"/>
      <w:r>
        <w:t xml:space="preserve"/>
      </w:r>
      <w:bookmarkEnd w:id="1"/>
      <w:r>
        <w:rPr>
          <w:rFonts w:ascii="Calibri" w:cs="Calibri" w:eastAsia="Calibri" w:hAnsi="Calibri"/>
          <w:b/>
          <w:bCs/>
          <w:color w:val="000000"/>
          <w:sz w:val="28"/>
          <w:szCs w:val="28"/>
        </w:rPr>
        <w:t xml:space="preserve">16. CONCLUSIONES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Con base en el inventario de activos, la infraestructura de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y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el uso actual mínimo por ausencia de clientes productivos, la proyección de crecimiento definida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los umbrales internos adoptados, se concluye que la capacidad tecnológica, de personal e instalaciones es suficiente para soportar la operación del monedero electrónico durante el ejercicio 2026.</w:t>
      </w:r>
    </w:p>
    <w:p>
      <w:r>
        <w:t xml:space="preserve"> </w:t>
      </w:r>
    </w:p>
    <w:p>
      <w:pPr>
        <w:pStyle w:val="Heading1"/>
        <w:pBdr>
          <w:bottom w:val="single" w:color="D9D9D9" w:sz="4" w:space="8"/>
        </w:pBdr>
        <w:spacing w:after="200" w:before="400" w:line="240"/>
      </w:pPr>
      <w:bookmarkStart w:name="section_16_periodicidad_de_revision" w:id="1"/>
      <w:r>
        <w:t xml:space="preserve"/>
      </w:r>
      <w:bookmarkEnd w:id="1"/>
      <w:r>
        <w:rPr>
          <w:rFonts w:ascii="Calibri" w:cs="Calibri" w:eastAsia="Calibri" w:hAnsi="Calibri"/>
          <w:b/>
          <w:bCs/>
          <w:color w:val="000000"/>
          <w:sz w:val="28"/>
          <w:szCs w:val="28"/>
        </w:rPr>
        <w:t xml:space="preserve">17. PERIODICIDAD DE REVISIÓN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estudio deberá revisarse y documentarse cada doce meses conforme al calendario fiscal. Adicionalmente, deberá actualizarse cuando existan cambios relevantes de infraestructura, incremento superior al 25% respecto de la proyección, contratación de nuevos servicios críticos, cambio de proveedor tecnológico, incidente crítico, activación de DRP o hallazgo de auditoría.</w:t>
      </w:r>
    </w:p>
    <w:p>
      <w:r>
        <w:t xml:space="preserve"> </w:t>
      </w:r>
    </w:p>
    <w:p>
      <w:pPr>
        <w:pStyle w:val="Heading1"/>
        <w:pBdr>
          <w:bottom w:val="single" w:color="D9D9D9" w:sz="4" w:space="8"/>
        </w:pBdr>
        <w:spacing w:after="200" w:before="400" w:line="240"/>
      </w:pPr>
      <w:bookmarkStart w:name="section_17_formatos_relacionados" w:id="1"/>
      <w:r>
        <w:t xml:space="preserve"/>
      </w:r>
      <w:bookmarkEnd w:id="1"/>
      <w:r>
        <w:rPr>
          <w:rFonts w:ascii="Calibri" w:cs="Calibri" w:eastAsia="Calibri" w:hAnsi="Calibri"/>
          <w:b/>
          <w:bCs/>
          <w:color w:val="000000"/>
          <w:sz w:val="28"/>
          <w:szCs w:val="28"/>
        </w:rPr>
        <w:t xml:space="preserve">18.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FO-SF-114 — FO-SF-114_Cedula_Evaluacion_Anual_Capacidad_2026_RED.docx</w:t>
      </w:r>
    </w:p>
    <w:p>
      <w:pPr>
        <w:spacing w:after="60" w:before="60" w:line="276"/>
      </w:pPr>
      <w:r>
        <w:rPr>
          <w:rFonts w:ascii="Calibri" w:cs="Calibri" w:eastAsia="Calibri" w:hAnsi="Calibri"/>
          <w:b w:val="false"/>
          <w:bCs w:val="false"/>
          <w:color w:val="333333"/>
          <w:sz w:val="20"/>
          <w:szCs w:val="20"/>
        </w:rPr>
        <w:t xml:space="preserve">• FO-SF-115 — FO-SF-115_Matriz_Brechas_Plan_Accion_Capacidad_2026_RED.docx</w:t>
      </w:r>
    </w:p>
    <w:p>
      <w:pPr>
        <w:spacing w:after="60" w:before="60" w:line="276"/>
      </w:pPr>
      <w:r>
        <w:rPr>
          <w:rFonts w:ascii="Calibri" w:cs="Calibri" w:eastAsia="Calibri" w:hAnsi="Calibri"/>
          <w:b w:val="false"/>
          <w:bCs w:val="false"/>
          <w:color w:val="333333"/>
          <w:sz w:val="20"/>
          <w:szCs w:val="20"/>
        </w:rPr>
        <w:t xml:space="preserve">• EV-SF-009 — FO-SF-114_Cedula_Evaluacion_Anual_Capacidad_2026_RED.docx</w:t>
      </w:r>
    </w:p>
    <w:p>
      <w:pPr>
        <w:spacing w:after="60" w:before="60" w:line="276"/>
      </w:pPr>
      <w:r>
        <w:rPr>
          <w:rFonts w:ascii="Calibri" w:cs="Calibri" w:eastAsia="Calibri" w:hAnsi="Calibri"/>
          <w:b w:val="false"/>
          <w:bCs w:val="false"/>
          <w:color w:val="333333"/>
          <w:sz w:val="20"/>
          <w:szCs w:val="20"/>
        </w:rPr>
        <w:t xml:space="preserve">• EV-SF-010 — FO-SF-115_Matriz_Brechas_Plan_Accion_Capacidad_2026_RED.docx</w:t>
      </w:r>
    </w:p>
    <w:p>
      <w:pPr>
        <w:spacing w:after="60" w:before="60" w:line="276"/>
      </w:pPr>
      <w:r>
        <w:rPr>
          <w:rFonts w:ascii="Calibri" w:cs="Calibri" w:eastAsia="Calibri" w:hAnsi="Calibri"/>
          <w:b w:val="false"/>
          <w:bCs w:val="false"/>
          <w:color w:val="333333"/>
          <w:sz w:val="20"/>
          <w:szCs w:val="20"/>
        </w:rPr>
        <w:t xml:space="preserve">• req_42_DOC_SF_021.pdf</w:t>
      </w:r>
    </w:p>
    <w:p>
      <w:r>
        <w:t xml:space="preserve"> </w:t>
      </w:r>
    </w:p>
    <w:p>
      <w:r>
        <w:br w:type="page"/>
      </w:r>
    </w:p>
    <w:p>
      <w:pPr>
        <w:pStyle w:val="Heading1"/>
        <w:pBdr>
          <w:bottom w:val="single" w:color="D9D9D9" w:sz="4" w:space="8"/>
        </w:pBdr>
        <w:spacing w:after="200" w:before="400" w:line="240"/>
      </w:pPr>
      <w:bookmarkStart w:name="section_18_glosario" w:id="1"/>
      <w:r>
        <w:rPr>
          <w:rFonts w:ascii="Calibri" w:cs="Calibri" w:eastAsia="Calibri" w:hAnsi="Calibri"/>
          <w:b/>
          <w:bCs/>
          <w:color w:val="000000"/>
          <w:sz w:val="28"/>
          <w:szCs w:val="28"/>
        </w:rPr>
        <w:t xml:space="preserve">19.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DOC-SF-021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Estudio de capacidad</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DOC-SF-021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Estudio de capacidad</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de capacidad</dc:title>
  <dc:subject>Documento</dc:subject>
  <dc:creator>Administrador MAPLINKS</dc:creator>
  <cp:keywords>DOC-SF-021</cp:keywords>
  <dc:description>Documento DOC-SF-021</dc:description>
  <cp:lastModifiedBy>Administrador MAPLINKS</cp:lastModifiedBy>
  <cp:revision>1</cp:revision>
  <dcterms:created xsi:type="dcterms:W3CDTF">2026-09-30T21:33:43.294Z</dcterms:created>
  <dcterms:modified xsi:type="dcterms:W3CDTF">2026-09-30T21:33:43.294Z</dcterms:modified>
</cp:coreProperties>
</file>

<file path=docProps/custom.xml><?xml version="1.0" encoding="utf-8"?>
<Properties xmlns="http://schemas.openxmlformats.org/officeDocument/2006/custom-properties" xmlns:vt="http://schemas.openxmlformats.org/officeDocument/2006/docPropsVTypes"/>
</file>