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00" w:after="80"/>
        <w:pBdr>
          <w:bottom w:val="single" w:sz="4" w:space="2" w:color="D9D9D9"/>
        </w:pBdr>
      </w:pPr>
      <w:r>
        <w:rPr>
          <w:rFonts w:ascii="Arial" w:hAnsi="Arial" w:eastAsia="Arial"/>
          <w:b/>
          <w:color w:val="000000"/>
          <w:sz w:val="32"/>
        </w:rPr>
        <w:t>Control de cambios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148"/>
        <w:gridCol w:w="2148"/>
        <w:gridCol w:w="2148"/>
        <w:gridCol w:w="2148"/>
        <w:gridCol w:w="2148"/>
      </w:tblGrid>
      <w:tr>
        <w:trPr>
          <w:tblHeader w:val="true"/>
        </w:trPr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</w:r>
            <w:r>
              <w:rPr>
                <w:rFonts w:ascii="Arial" w:hAnsi="Arial" w:eastAsia="Arial"/>
                <w:b/>
                <w:color w:val="FFFFFF"/>
                <w:sz w:val="17"/>
              </w:rPr>
              <w:t>Cambio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</w:r>
            <w:r>
              <w:rPr>
                <w:rFonts w:ascii="Arial" w:hAnsi="Arial" w:eastAsia="Arial"/>
                <w:b/>
                <w:color w:val="FFFFFF"/>
                <w:sz w:val="17"/>
              </w:rPr>
              <w:t>Sección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</w:r>
            <w:r>
              <w:rPr>
                <w:rFonts w:ascii="Arial" w:hAnsi="Arial" w:eastAsia="Arial"/>
                <w:b/>
                <w:color w:val="FFFFFF"/>
                <w:sz w:val="17"/>
              </w:rPr>
              <w:t>Descripción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</w:r>
            <w:r>
              <w:rPr>
                <w:rFonts w:ascii="Arial" w:hAnsi="Arial" w:eastAsia="Arial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</w:r>
            <w:r>
              <w:rPr>
                <w:rFonts w:ascii="Arial" w:hAnsi="Arial" w:eastAsia="Arial"/>
                <w:b/>
                <w:color w:val="FFFFFF"/>
                <w:sz w:val="17"/>
              </w:rPr>
              <w:t>Fecha</w:t>
            </w:r>
          </w:p>
        </w:tc>
      </w:tr>
      <w:tr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Creación del formato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Todo el documento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Adecuación del formato al diseño institucional FO-SF-108 y registro de evaluación anual 2026.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05/06/2026</w:t>
            </w:r>
          </w:p>
        </w:tc>
      </w:tr>
    </w:tbl>
    <w:p/>
    <w:p>
      <w:pPr>
        <w:keepNext/>
        <w:spacing w:before="200" w:after="80"/>
        <w:pBdr>
          <w:bottom w:val="single" w:sz="4" w:space="2" w:color="D9D9D9"/>
        </w:pBdr>
      </w:pPr>
      <w:r>
        <w:rPr>
          <w:rFonts w:ascii="Arial" w:hAnsi="Arial" w:eastAsia="Arial"/>
          <w:b/>
          <w:color w:val="000000"/>
          <w:sz w:val="32"/>
        </w:rPr>
        <w:t>1. Datos generales de la evaluación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71"/>
        <w:gridCol w:w="5371"/>
      </w:tblGrid>
      <w:tr>
        <w:trPr>
          <w:tblHeader w:val="true"/>
        </w:trPr>
        <w:tc>
          <w:tcPr>
            <w:tcW w:type="dxa" w:w="2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</w:r>
            <w:r>
              <w:rPr>
                <w:rFonts w:ascii="Arial" w:hAnsi="Arial" w:eastAsia="Arial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5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</w:r>
            <w:r>
              <w:rPr>
                <w:rFonts w:ascii="Arial" w:hAnsi="Arial" w:eastAsia="Arial"/>
                <w:b/>
                <w:color w:val="FFFFFF"/>
                <w:sz w:val="17"/>
              </w:rPr>
              <w:t>Detalle</w:t>
            </w:r>
          </w:p>
        </w:tc>
      </w:tr>
      <w:tr>
        <w:tc>
          <w:tcPr>
            <w:tcW w:type="dxa" w:w="2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Ejercicio fiscal evaluado</w:t>
            </w:r>
          </w:p>
        </w:tc>
        <w:tc>
          <w:tcPr>
            <w:tcW w:type="dxa" w:w="5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2026</w:t>
            </w:r>
          </w:p>
        </w:tc>
      </w:tr>
      <w:tr>
        <w:tc>
          <w:tcPr>
            <w:tcW w:type="dxa" w:w="2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Fecha de evaluación</w:t>
            </w:r>
          </w:p>
        </w:tc>
        <w:tc>
          <w:tcPr>
            <w:tcW w:type="dxa" w:w="5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05/06/2026</w:t>
            </w:r>
          </w:p>
        </w:tc>
      </w:tr>
      <w:tr>
        <w:tc>
          <w:tcPr>
            <w:tcW w:type="dxa" w:w="2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Responsable de evaluación</w:t>
            </w:r>
          </w:p>
        </w:tc>
        <w:tc>
          <w:tcPr>
            <w:tcW w:type="dxa" w:w="5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Axel Martínez Rentería / Romina Monserrat Barbosa Apodaca</w:t>
            </w:r>
          </w:p>
        </w:tc>
      </w:tr>
      <w:tr>
        <w:tc>
          <w:tcPr>
            <w:tcW w:type="dxa" w:w="2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Sistema evaluado</w:t>
            </w:r>
          </w:p>
        </w:tc>
        <w:tc>
          <w:tcPr>
            <w:tcW w:type="dxa" w:w="5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Software de Monedero Electrónico de Combustibles</w:t>
            </w:r>
          </w:p>
        </w:tc>
      </w:tr>
      <w:tr>
        <w:tc>
          <w:tcPr>
            <w:tcW w:type="dxa" w:w="2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Procesos críticos</w:t>
            </w:r>
          </w:p>
        </w:tc>
        <w:tc>
          <w:tcPr>
            <w:tcW w:type="dxa" w:w="5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Autorización de transacciones; compensación / liquidación</w:t>
            </w:r>
          </w:p>
        </w:tc>
      </w:tr>
      <w:tr>
        <w:tc>
          <w:tcPr>
            <w:tcW w:type="dxa" w:w="2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Centro de datos principal</w:t>
            </w:r>
          </w:p>
        </w:tc>
        <w:tc>
          <w:tcPr>
            <w:tcW w:type="dxa" w:w="5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NGX</w:t>
            </w:r>
          </w:p>
        </w:tc>
      </w:tr>
      <w:tr>
        <w:tc>
          <w:tcPr>
            <w:tcW w:type="dxa" w:w="2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Centro de datos alterno</w:t>
            </w:r>
          </w:p>
        </w:tc>
        <w:tc>
          <w:tcPr>
            <w:tcW w:type="dxa" w:w="5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ASSETEL</w:t>
            </w:r>
          </w:p>
        </w:tc>
      </w:tr>
      <w:tr>
        <w:tc>
          <w:tcPr>
            <w:tcW w:type="dxa" w:w="2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Herramienta de tickets</w:t>
            </w:r>
          </w:p>
        </w:tc>
        <w:tc>
          <w:tcPr>
            <w:tcW w:type="dxa" w:w="5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GLPI</w:t>
            </w:r>
          </w:p>
        </w:tc>
      </w:tr>
      <w:tr>
        <w:tc>
          <w:tcPr>
            <w:tcW w:type="dxa" w:w="2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Documento de referencia</w:t>
            </w:r>
          </w:p>
        </w:tc>
        <w:tc>
          <w:tcPr>
            <w:tcW w:type="dxa" w:w="5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DOC-SF-042 Estudio de Capacidad Tecnológica, Personal e Instalaciones 2026</w:t>
            </w:r>
          </w:p>
        </w:tc>
      </w:tr>
    </w:tbl>
    <w:p/>
    <w:p>
      <w:pPr>
        <w:keepNext/>
        <w:spacing w:before="200" w:after="80"/>
        <w:pBdr>
          <w:bottom w:val="single" w:sz="4" w:space="2" w:color="D9D9D9"/>
        </w:pBdr>
      </w:pPr>
      <w:r>
        <w:rPr>
          <w:rFonts w:ascii="Arial" w:hAnsi="Arial" w:eastAsia="Arial"/>
          <w:b/>
          <w:color w:val="000000"/>
          <w:sz w:val="32"/>
        </w:rPr>
        <w:t>2. Evaluación de capacidad tecnológica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90"/>
        <w:gridCol w:w="1790"/>
        <w:gridCol w:w="1790"/>
        <w:gridCol w:w="1790"/>
        <w:gridCol w:w="1790"/>
        <w:gridCol w:w="1790"/>
      </w:tblGrid>
      <w:tr>
        <w:trPr>
          <w:tblHeader w:val="true"/>
        </w:trPr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4"/>
              </w:rPr>
            </w:r>
            <w:r>
              <w:rPr>
                <w:rFonts w:ascii="Arial" w:hAnsi="Arial" w:eastAsia="Arial"/>
                <w:b/>
                <w:color w:val="FFFFFF"/>
                <w:sz w:val="14"/>
              </w:rPr>
              <w:t>Componente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4"/>
              </w:rPr>
            </w:r>
            <w:r>
              <w:rPr>
                <w:rFonts w:ascii="Arial" w:hAnsi="Arial" w:eastAsia="Arial"/>
                <w:b/>
                <w:color w:val="FFFFFF"/>
                <w:sz w:val="14"/>
              </w:rPr>
              <w:t>Capacidad / umbral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4"/>
              </w:rPr>
            </w:r>
            <w:r>
              <w:rPr>
                <w:rFonts w:ascii="Arial" w:hAnsi="Arial" w:eastAsia="Arial"/>
                <w:b/>
                <w:color w:val="FFFFFF"/>
                <w:sz w:val="14"/>
              </w:rPr>
              <w:t>Uso actual estimado</w:t>
            </w:r>
          </w:p>
        </w:tc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4"/>
              </w:rPr>
            </w:r>
            <w:r>
              <w:rPr>
                <w:rFonts w:ascii="Arial" w:hAnsi="Arial" w:eastAsia="Arial"/>
                <w:b/>
                <w:color w:val="FFFFFF"/>
                <w:sz w:val="14"/>
              </w:rPr>
              <w:t>Proyección 2026</w:t>
            </w:r>
          </w:p>
        </w:tc>
        <w:tc>
          <w:tcPr>
            <w:tcW w:type="dxa" w:w="1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4"/>
              </w:rPr>
            </w:r>
            <w:r>
              <w:rPr>
                <w:rFonts w:ascii="Arial" w:hAnsi="Arial" w:eastAsia="Arial"/>
                <w:b/>
                <w:color w:val="FFFFFF"/>
                <w:sz w:val="14"/>
              </w:rPr>
              <w:t>Resultado</w:t>
            </w:r>
          </w:p>
        </w:tc>
        <w:tc>
          <w:tcPr>
            <w:tcW w:type="dxa" w:w="1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4"/>
              </w:rPr>
            </w:r>
            <w:r>
              <w:rPr>
                <w:rFonts w:ascii="Arial" w:hAnsi="Arial" w:eastAsia="Arial"/>
                <w:b/>
                <w:color w:val="FFFFFF"/>
                <w:sz w:val="14"/>
              </w:rPr>
              <w:t>Evidencia</w:t>
            </w:r>
          </w:p>
        </w:tc>
      </w:tr>
      <w:tr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CPU clúster NGX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Objetivo &lt; 70% promedio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5-10% por operación mínima</w:t>
            </w:r>
          </w:p>
        </w:tc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&lt; 25% bajo proyección 2026</w:t>
            </w:r>
          </w:p>
        </w:tc>
        <w:tc>
          <w:tcPr>
            <w:tcW w:type="dxa" w:w="1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Cumple</w:t>
            </w:r>
          </w:p>
        </w:tc>
        <w:tc>
          <w:tcPr>
            <w:tcW w:type="dxa" w:w="1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Memoria RAM clúster NGX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Objetivo &lt; 75% promedio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15-25% por operación mínima</w:t>
            </w:r>
          </w:p>
        </w:tc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&lt; 40% bajo proyección 2026</w:t>
            </w:r>
          </w:p>
        </w:tc>
        <w:tc>
          <w:tcPr>
            <w:tcW w:type="dxa" w:w="1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Cumple</w:t>
            </w:r>
          </w:p>
        </w:tc>
        <w:tc>
          <w:tcPr>
            <w:tcW w:type="dxa" w:w="1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Almacenamiento MSA NGX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Objetivo &lt; 80% ocupado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Uso bajo; sin clientes productivos</w:t>
            </w:r>
          </w:p>
        </w:tc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Crecimiento estimado &lt; 0.2 TB 2026</w:t>
            </w:r>
          </w:p>
        </w:tc>
        <w:tc>
          <w:tcPr>
            <w:tcW w:type="dxa" w:w="1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Cumple</w:t>
            </w:r>
          </w:p>
        </w:tc>
        <w:tc>
          <w:tcPr>
            <w:tcW w:type="dxa" w:w="1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IOPS / latencia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Latencia &lt; 10 ms promedio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Sin evidencia productiva</w:t>
            </w:r>
          </w:p>
        </w:tc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Carga esperada baja a moderada</w:t>
            </w:r>
          </w:p>
        </w:tc>
        <w:tc>
          <w:tcPr>
            <w:tcW w:type="dxa" w:w="1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Cumple sujeto a monitoreo</w:t>
            </w:r>
          </w:p>
        </w:tc>
        <w:tc>
          <w:tcPr>
            <w:tcW w:type="dxa" w:w="1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ASSETEL standby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Debe soportar recuperación del monedero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Réplicas apagadas en standby</w:t>
            </w:r>
          </w:p>
        </w:tc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Apto para activación DRP</w:t>
            </w:r>
          </w:p>
        </w:tc>
        <w:tc>
          <w:tcPr>
            <w:tcW w:type="dxa" w:w="1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Cumple</w:t>
            </w:r>
          </w:p>
        </w:tc>
        <w:tc>
          <w:tcPr>
            <w:tcW w:type="dxa" w:w="1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GLPI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Registro de incidentes, problemas y cambios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Activo</w:t>
            </w:r>
          </w:p>
        </w:tc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Apto para operación 2026</w:t>
            </w:r>
          </w:p>
        </w:tc>
        <w:tc>
          <w:tcPr>
            <w:tcW w:type="dxa" w:w="1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Cumple</w:t>
            </w:r>
          </w:p>
        </w:tc>
        <w:tc>
          <w:tcPr>
            <w:tcW w:type="dxa" w:w="1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  <w:tr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Respaldos</w:t>
            </w:r>
          </w:p>
        </w:tc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Conforme a PO-SF-014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Respaldos definidos</w:t>
            </w:r>
          </w:p>
        </w:tc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Apto con pruebas documentadas</w:t>
            </w:r>
          </w:p>
        </w:tc>
        <w:tc>
          <w:tcPr>
            <w:tcW w:type="dxa" w:w="1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Cumple sujeto a evidencia</w:t>
            </w:r>
          </w:p>
        </w:tc>
        <w:tc>
          <w:tcPr>
            <w:tcW w:type="dxa" w:w="1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</w:p>
        </w:tc>
      </w:tr>
    </w:tbl>
    <w:p/>
    <w:p>
      <w:pPr>
        <w:keepNext/>
        <w:spacing w:before="200" w:after="80"/>
        <w:pBdr>
          <w:bottom w:val="single" w:sz="4" w:space="2" w:color="D9D9D9"/>
        </w:pBdr>
      </w:pPr>
      <w:r>
        <w:rPr>
          <w:rFonts w:ascii="Arial" w:hAnsi="Arial" w:eastAsia="Arial"/>
          <w:b/>
          <w:color w:val="000000"/>
          <w:sz w:val="32"/>
        </w:rPr>
        <w:t>3. Evaluación de capacidad de personal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148"/>
        <w:gridCol w:w="2148"/>
        <w:gridCol w:w="2148"/>
        <w:gridCol w:w="2148"/>
        <w:gridCol w:w="2148"/>
      </w:tblGrid>
      <w:tr>
        <w:trPr>
          <w:tblHeader w:val="true"/>
        </w:trPr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5"/>
              </w:rPr>
            </w:r>
            <w:r>
              <w:rPr>
                <w:rFonts w:ascii="Arial" w:hAnsi="Arial" w:eastAsia="Arial"/>
                <w:b/>
                <w:color w:val="FFFFFF"/>
                <w:sz w:val="15"/>
              </w:rPr>
              <w:t>Área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5"/>
              </w:rPr>
            </w:r>
            <w:r>
              <w:rPr>
                <w:rFonts w:ascii="Arial" w:hAnsi="Arial" w:eastAsia="Arial"/>
                <w:b/>
                <w:color w:val="FFFFFF"/>
                <w:sz w:val="15"/>
              </w:rPr>
              <w:t>Personal actual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5"/>
              </w:rPr>
            </w:r>
            <w:r>
              <w:rPr>
                <w:rFonts w:ascii="Arial" w:hAnsi="Arial" w:eastAsia="Arial"/>
                <w:b/>
                <w:color w:val="FFFFFF"/>
                <w:sz w:val="15"/>
              </w:rPr>
              <w:t>Demanda proyectada 2026</w:t>
            </w:r>
          </w:p>
        </w:tc>
        <w:tc>
          <w:tcPr>
            <w:tcW w:type="dxa" w:w="1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5"/>
              </w:rPr>
            </w:r>
            <w:r>
              <w:rPr>
                <w:rFonts w:ascii="Arial" w:hAnsi="Arial" w:eastAsia="Arial"/>
                <w:b/>
                <w:color w:val="FFFFFF"/>
                <w:sz w:val="15"/>
              </w:rPr>
              <w:t>Resultado</w:t>
            </w:r>
          </w:p>
        </w:tc>
        <w:tc>
          <w:tcPr>
            <w:tcW w:type="dxa" w:w="2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5"/>
              </w:rPr>
            </w:r>
            <w:r>
              <w:rPr>
                <w:rFonts w:ascii="Arial" w:hAnsi="Arial" w:eastAsia="Arial"/>
                <w:b/>
                <w:color w:val="FFFFFF"/>
                <w:sz w:val="15"/>
              </w:rPr>
              <w:t>Observaciones</w:t>
            </w:r>
          </w:p>
        </w:tc>
      </w:tr>
      <w:tr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Dirección / coordinación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Romina Monserrat Barbosa Apodaca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Crecimiento controlado de 100 clientes/mes</w:t>
            </w:r>
          </w:p>
        </w:tc>
        <w:tc>
          <w:tcPr>
            <w:tcW w:type="dxa" w:w="1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Cumple</w:t>
            </w:r>
          </w:p>
        </w:tc>
        <w:tc>
          <w:tcPr>
            <w:tcW w:type="dxa" w:w="2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Enlace con ENERFUEL TECH.</w:t>
            </w:r>
          </w:p>
        </w:tc>
      </w:tr>
      <w:tr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Ventas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Iván Cruz Ponce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Prospección y alta comercial de clientes</w:t>
            </w:r>
          </w:p>
        </w:tc>
        <w:tc>
          <w:tcPr>
            <w:tcW w:type="dxa" w:w="1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Cumple</w:t>
            </w:r>
          </w:p>
        </w:tc>
        <w:tc>
          <w:tcPr>
            <w:tcW w:type="dxa" w:w="2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Soporta etapa inicial.</w:t>
            </w:r>
          </w:p>
        </w:tc>
      </w:tr>
      <w:tr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Afiliadas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Valeria Naomi Curiel Trinidad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10 estaciones/mes</w:t>
            </w:r>
          </w:p>
        </w:tc>
        <w:tc>
          <w:tcPr>
            <w:tcW w:type="dxa" w:w="1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Cumple</w:t>
            </w:r>
          </w:p>
        </w:tc>
        <w:tc>
          <w:tcPr>
            <w:tcW w:type="dxa" w:w="2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Automatización y soporte remoto.</w:t>
            </w:r>
          </w:p>
        </w:tc>
      </w:tr>
      <w:tr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Atención a clientes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Ramón Gabriel Salazar Rocha / Jessica Dafhnee Pérez Santa Ana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Soporte inicial a clientes y beneficiarios</w:t>
            </w:r>
          </w:p>
        </w:tc>
        <w:tc>
          <w:tcPr>
            <w:tcW w:type="dxa" w:w="1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Cumple</w:t>
            </w:r>
          </w:p>
        </w:tc>
        <w:tc>
          <w:tcPr>
            <w:tcW w:type="dxa" w:w="2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Escalar si se superan volúmenes proyectados.</w:t>
            </w:r>
          </w:p>
        </w:tc>
      </w:tr>
      <w:tr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Crédito y cobranza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Francisco Ricardo López Dimas / Teresa Angélica Martínez Cárdenas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Gestión de pagos, cartera y cobranza</w:t>
            </w:r>
          </w:p>
        </w:tc>
        <w:tc>
          <w:tcPr>
            <w:tcW w:type="dxa" w:w="1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Cumple</w:t>
            </w:r>
          </w:p>
        </w:tc>
        <w:tc>
          <w:tcPr>
            <w:tcW w:type="dxa" w:w="2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Suficiente para 2026.</w:t>
            </w:r>
          </w:p>
        </w:tc>
      </w:tr>
      <w:tr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Seguridad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Axel Martínez Rentería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Control de incidentes, evidencias y auditoría</w:t>
            </w:r>
          </w:p>
        </w:tc>
        <w:tc>
          <w:tcPr>
            <w:tcW w:type="dxa" w:w="1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Cumple</w:t>
            </w:r>
          </w:p>
        </w:tc>
        <w:tc>
          <w:tcPr>
            <w:tcW w:type="dxa" w:w="22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4"/>
              </w:rPr>
            </w:r>
            <w:r>
              <w:rPr>
                <w:rFonts w:ascii="Arial" w:hAnsi="Arial" w:eastAsia="Arial"/>
                <w:b w:val="0"/>
                <w:color w:val="000000"/>
                <w:sz w:val="14"/>
              </w:rPr>
              <w:t>Coordinar GLPI y PR-SF-021.</w:t>
            </w:r>
          </w:p>
        </w:tc>
      </w:tr>
    </w:tbl>
    <w:p/>
    <w:p>
      <w:pPr>
        <w:keepNext/>
        <w:spacing w:before="200" w:after="80"/>
        <w:pBdr>
          <w:bottom w:val="single" w:sz="4" w:space="2" w:color="D9D9D9"/>
        </w:pBdr>
      </w:pPr>
      <w:r>
        <w:rPr>
          <w:rFonts w:ascii="Arial" w:hAnsi="Arial" w:eastAsia="Arial"/>
          <w:b/>
          <w:color w:val="000000"/>
          <w:sz w:val="32"/>
        </w:rPr>
        <w:t>4. Evaluación de capacidad de instalaciones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685"/>
        <w:gridCol w:w="2685"/>
        <w:gridCol w:w="2685"/>
        <w:gridCol w:w="2685"/>
      </w:tblGrid>
      <w:tr>
        <w:trPr>
          <w:tblHeader w:val="true"/>
        </w:trPr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</w:r>
            <w:r>
              <w:rPr>
                <w:rFonts w:ascii="Arial" w:hAnsi="Arial" w:eastAsia="Arial"/>
                <w:b/>
                <w:color w:val="FFFFFF"/>
                <w:sz w:val="16"/>
              </w:rPr>
              <w:t>Instalación</w:t>
            </w:r>
          </w:p>
        </w:tc>
        <w:tc>
          <w:tcPr>
            <w:tcW w:type="dxa" w:w="4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</w:r>
            <w:r>
              <w:rPr>
                <w:rFonts w:ascii="Arial" w:hAnsi="Arial" w:eastAsia="Arial"/>
                <w:b/>
                <w:color w:val="FFFFFF"/>
                <w:sz w:val="16"/>
              </w:rPr>
              <w:t>Capacidad evaluada</w:t>
            </w:r>
          </w:p>
        </w:tc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</w:r>
            <w:r>
              <w:rPr>
                <w:rFonts w:ascii="Arial" w:hAnsi="Arial" w:eastAsia="Arial"/>
                <w:b/>
                <w:color w:val="FFFFFF"/>
                <w:sz w:val="16"/>
              </w:rPr>
              <w:t>Resultado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</w:r>
            <w:r>
              <w:rPr>
                <w:rFonts w:ascii="Arial" w:hAnsi="Arial" w:eastAsia="Arial"/>
                <w:b/>
                <w:color w:val="FFFFFF"/>
                <w:sz w:val="16"/>
              </w:rPr>
              <w:t>Evidencia</w:t>
            </w:r>
          </w:p>
        </w:tc>
      </w:tr>
      <w:tr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  <w:t>NGX</w:t>
            </w:r>
          </w:p>
        </w:tc>
        <w:tc>
          <w:tcPr>
            <w:tcW w:type="dxa" w:w="4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  <w:t>Centro de datos principal, virtualización, almacenamiento, firewall y switch core.</w:t>
            </w:r>
          </w:p>
        </w:tc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  <w:t>Cumple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  <w:t>ASSETEL</w:t>
            </w:r>
          </w:p>
        </w:tc>
        <w:tc>
          <w:tcPr>
            <w:tcW w:type="dxa" w:w="4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  <w:t>Centro de datos alterno con infraestructura en standby.</w:t>
            </w:r>
          </w:p>
        </w:tc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  <w:t>Cumple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  <w:t>Oficina administrativa</w:t>
            </w:r>
          </w:p>
        </w:tc>
        <w:tc>
          <w:tcPr>
            <w:tcW w:type="dxa" w:w="4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  <w:t>Capacidad suficiente para personal actual. Nuevos empleados en modalidad remota.</w:t>
            </w:r>
          </w:p>
        </w:tc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  <w:t>Cumple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18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  <w:t>Trabajo remoto</w:t>
            </w:r>
          </w:p>
        </w:tc>
        <w:tc>
          <w:tcPr>
            <w:tcW w:type="dxa" w:w="43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  <w:t>VPN, MFA y controles de seguridad aplicables al personal autorizado.</w:t>
            </w:r>
          </w:p>
        </w:tc>
        <w:tc>
          <w:tcPr>
            <w:tcW w:type="dxa" w:w="17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  <w:t>Cumple sujeto a revisión periódica</w:t>
            </w:r>
          </w:p>
        </w:tc>
        <w:tc>
          <w:tcPr>
            <w:tcW w:type="dxa" w:w="16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  <w:r>
              <w:rPr>
                <w:rFonts w:ascii="Arial" w:hAnsi="Arial" w:eastAsia="Arial"/>
                <w:b w:val="0"/>
                <w:color w:val="000000"/>
                <w:sz w:val="16"/>
              </w:rPr>
            </w:r>
          </w:p>
        </w:tc>
      </w:tr>
    </w:tbl>
    <w:p/>
    <w:p>
      <w:pPr>
        <w:keepNext/>
        <w:spacing w:before="200" w:after="80"/>
        <w:pBdr>
          <w:bottom w:val="single" w:sz="4" w:space="2" w:color="D9D9D9"/>
        </w:pBdr>
      </w:pPr>
      <w:r>
        <w:rPr>
          <w:rFonts w:ascii="Arial" w:hAnsi="Arial" w:eastAsia="Arial"/>
          <w:b/>
          <w:color w:val="000000"/>
          <w:sz w:val="32"/>
        </w:rPr>
        <w:t>5. Evidencias de monitoreo pendientes de integrar</w:t>
      </w:r>
    </w:p>
    <w:p>
      <w:pPr>
        <w:spacing w:after="120" w:line="259" w:lineRule="auto"/>
        <w:jc w:val="both"/>
      </w:pPr>
      <w:r>
        <w:rPr>
          <w:rFonts w:ascii="Arial" w:hAnsi="Arial" w:eastAsia="Arial"/>
          <w:b w:val="0"/>
          <w:color w:val="000000"/>
          <w:sz w:val="20"/>
        </w:rPr>
        <w:t xml:space="preserve">La presente cédula conserva espacios libres para anexar evidencias de monitoreo cuando </w:t>
      </w:r>
      <w:r>
        <w:rPr>
          <w:rFonts w:ascii="Arial" w:hAnsi="Arial" w:eastAsia="Arial"/>
          <w:b/>
          <w:color w:val="000000"/>
          <w:sz w:val="20"/>
        </w:rPr>
        <w:t>SENDERO FUEL</w:t>
      </w:r>
      <w:r>
        <w:rPr>
          <w:rFonts w:ascii="Arial" w:hAnsi="Arial" w:eastAsia="Arial"/>
          <w:b w:val="0"/>
          <w:color w:val="000000"/>
          <w:sz w:val="20"/>
        </w:rPr>
        <w:t xml:space="preserve"> inicie operación productiva con clientes. Las evidencias deberán corresponder al periodo evaluado y conservarse junto con el expediente del punto 42 del Anexo 10.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148"/>
        <w:gridCol w:w="2148"/>
        <w:gridCol w:w="2148"/>
        <w:gridCol w:w="2148"/>
        <w:gridCol w:w="2148"/>
      </w:tblGrid>
      <w:tr>
        <w:trPr>
          <w:tblHeader w:val="true"/>
        </w:trPr>
        <w:tc>
          <w:tcPr>
            <w:tcW w:type="dxa" w:w="2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5"/>
              </w:rPr>
            </w:r>
            <w:r>
              <w:rPr>
                <w:rFonts w:ascii="Arial" w:hAnsi="Arial" w:eastAsia="Arial"/>
                <w:b/>
                <w:color w:val="FFFFFF"/>
                <w:sz w:val="15"/>
              </w:rPr>
              <w:t>Tipo de evidencia</w:t>
            </w:r>
          </w:p>
        </w:tc>
        <w:tc>
          <w:tcPr>
            <w:tcW w:type="dxa" w:w="3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5"/>
              </w:rPr>
            </w:r>
            <w:r>
              <w:rPr>
                <w:rFonts w:ascii="Arial" w:hAnsi="Arial" w:eastAsia="Arial"/>
                <w:b/>
                <w:color w:val="FFFFFF"/>
                <w:sz w:val="15"/>
              </w:rPr>
              <w:t>Fuente sugerida</w:t>
            </w:r>
          </w:p>
        </w:tc>
        <w:tc>
          <w:tcPr>
            <w:tcW w:type="dxa" w:w="1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5"/>
              </w:rPr>
            </w:r>
            <w:r>
              <w:rPr>
                <w:rFonts w:ascii="Arial" w:hAnsi="Arial" w:eastAsia="Arial"/>
                <w:b/>
                <w:color w:val="FFFFFF"/>
                <w:sz w:val="15"/>
              </w:rPr>
              <w:t>Periodo / corte</w:t>
            </w:r>
          </w:p>
        </w:tc>
        <w:tc>
          <w:tcPr>
            <w:tcW w:type="dxa" w:w="2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5"/>
              </w:rPr>
            </w:r>
            <w:r>
              <w:rPr>
                <w:rFonts w:ascii="Arial" w:hAnsi="Arial" w:eastAsia="Arial"/>
                <w:b/>
                <w:color w:val="FFFFFF"/>
                <w:sz w:val="15"/>
              </w:rPr>
              <w:t>Responsable</w:t>
            </w:r>
          </w:p>
        </w:tc>
        <w:tc>
          <w:tcPr>
            <w:tcW w:type="dxa" w:w="1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5"/>
              </w:rPr>
            </w:r>
            <w:r>
              <w:rPr>
                <w:rFonts w:ascii="Arial" w:hAnsi="Arial" w:eastAsia="Arial"/>
                <w:b/>
                <w:color w:val="FFFFFF"/>
                <w:sz w:val="15"/>
              </w:rPr>
              <w:t>Estatus</w:t>
            </w:r>
          </w:p>
        </w:tc>
      </w:tr>
      <w:tr>
        <w:tc>
          <w:tcPr>
            <w:tcW w:type="dxa" w:w="2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  <w:t>CPU, memoria y almacenamiento</w:t>
            </w:r>
          </w:p>
        </w:tc>
        <w:tc>
          <w:tcPr>
            <w:tcW w:type="dxa" w:w="3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  <w:t>vCenter, VMware, consola de almacenamiento o herramienta equivalente</w:t>
            </w:r>
          </w:p>
        </w:tc>
        <w:tc>
          <w:tcPr>
            <w:tcW w:type="dxa" w:w="1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2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  <w:t>Oficial de Seguridad / ENERFUEL TECH</w:t>
            </w:r>
          </w:p>
        </w:tc>
        <w:tc>
          <w:tcPr>
            <w:tcW w:type="dxa" w:w="1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  <w:t>Pendiente de anexar</w:t>
            </w:r>
          </w:p>
        </w:tc>
      </w:tr>
      <w:tr>
        <w:tc>
          <w:tcPr>
            <w:tcW w:type="dxa" w:w="2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  <w:t>Disponibilidad y latencia</w:t>
            </w:r>
          </w:p>
        </w:tc>
        <w:tc>
          <w:tcPr>
            <w:tcW w:type="dxa" w:w="3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  <w:t>Firewall, monitoreo de red, dashboard de aplicación o reporte de proveedor</w:t>
            </w:r>
          </w:p>
        </w:tc>
        <w:tc>
          <w:tcPr>
            <w:tcW w:type="dxa" w:w="1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2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  <w:t>Oficial de Seguridad / ENERFUEL TECH</w:t>
            </w:r>
          </w:p>
        </w:tc>
        <w:tc>
          <w:tcPr>
            <w:tcW w:type="dxa" w:w="1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  <w:t>Pendiente de anexar</w:t>
            </w:r>
          </w:p>
        </w:tc>
      </w:tr>
      <w:tr>
        <w:tc>
          <w:tcPr>
            <w:tcW w:type="dxa" w:w="2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  <w:t>Tickets de capacidad</w:t>
            </w:r>
          </w:p>
        </w:tc>
        <w:tc>
          <w:tcPr>
            <w:tcW w:type="dxa" w:w="3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  <w:t>GLPI</w:t>
            </w:r>
          </w:p>
        </w:tc>
        <w:tc>
          <w:tcPr>
            <w:tcW w:type="dxa" w:w="1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2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  <w:t>Romina / Oficial de Seguridad</w:t>
            </w:r>
          </w:p>
        </w:tc>
        <w:tc>
          <w:tcPr>
            <w:tcW w:type="dxa" w:w="1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  <w:t>Pendiente de anexar</w:t>
            </w:r>
          </w:p>
        </w:tc>
      </w:tr>
      <w:tr>
        <w:tc>
          <w:tcPr>
            <w:tcW w:type="dxa" w:w="2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  <w:t>Respaldos y restauración</w:t>
            </w:r>
          </w:p>
        </w:tc>
        <w:tc>
          <w:tcPr>
            <w:tcW w:type="dxa" w:w="3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  <w:t>PO-SF-014, bitácoras de respaldo y pruebas de restauración</w:t>
            </w:r>
          </w:p>
        </w:tc>
        <w:tc>
          <w:tcPr>
            <w:tcW w:type="dxa" w:w="1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</w:p>
        </w:tc>
        <w:tc>
          <w:tcPr>
            <w:tcW w:type="dxa" w:w="2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  <w:t>Oficial de Seguridad / ENERFUEL TECH</w:t>
            </w:r>
          </w:p>
        </w:tc>
        <w:tc>
          <w:tcPr>
            <w:tcW w:type="dxa" w:w="14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5"/>
              </w:rPr>
            </w:r>
            <w:r>
              <w:rPr>
                <w:rFonts w:ascii="Arial" w:hAnsi="Arial" w:eastAsia="Arial"/>
                <w:b w:val="0"/>
                <w:color w:val="000000"/>
                <w:sz w:val="15"/>
              </w:rPr>
              <w:t>Pendiente de anexar</w:t>
            </w:r>
          </w:p>
        </w:tc>
      </w:tr>
    </w:tbl>
    <w:p/>
    <w:p>
      <w:pPr>
        <w:keepNext/>
        <w:spacing w:before="200" w:after="80"/>
        <w:pBdr>
          <w:bottom w:val="single" w:sz="4" w:space="2" w:color="D9D9D9"/>
        </w:pBdr>
      </w:pPr>
      <w:r>
        <w:rPr>
          <w:rFonts w:ascii="Arial" w:hAnsi="Arial" w:eastAsia="Arial"/>
          <w:b/>
          <w:color w:val="000000"/>
          <w:sz w:val="32"/>
        </w:rPr>
        <w:t>6. Conclusión de la evaluación</w:t>
      </w:r>
    </w:p>
    <w:p>
      <w:pPr>
        <w:spacing w:after="120" w:line="259" w:lineRule="auto"/>
        <w:jc w:val="both"/>
      </w:pPr>
      <w:r>
        <w:rPr>
          <w:rFonts w:ascii="Arial" w:hAnsi="Arial" w:eastAsia="Arial"/>
          <w:b w:val="0"/>
          <w:color w:val="000000"/>
          <w:sz w:val="20"/>
        </w:rPr>
        <w:t xml:space="preserve">Con base en la información disponible y los supuestos de operación 2026, la capacidad tecnológica, de personal e instalaciones de </w:t>
      </w:r>
      <w:r>
        <w:rPr>
          <w:rFonts w:ascii="Arial" w:hAnsi="Arial" w:eastAsia="Arial"/>
          <w:b/>
          <w:color w:val="000000"/>
          <w:sz w:val="20"/>
        </w:rPr>
        <w:t>SENDERO FUEL</w:t>
      </w:r>
      <w:r>
        <w:rPr>
          <w:rFonts w:ascii="Arial" w:hAnsi="Arial" w:eastAsia="Arial"/>
          <w:b w:val="0"/>
          <w:color w:val="000000"/>
          <w:sz w:val="20"/>
        </w:rPr>
        <w:t xml:space="preserve"> se considera suficiente para soportar la operación proyectada del monedero electrónico de combustibles durante el ejercicio 2026. Las evidencias de monitoreo deberán incorporarse a esta cédula cuando exista operación productiva con clientes.</w:t>
      </w:r>
    </w:p>
    <w:p>
      <w:pPr>
        <w:keepNext/>
        <w:spacing w:before="200" w:after="80"/>
        <w:pBdr>
          <w:bottom w:val="single" w:sz="4" w:space="2" w:color="D9D9D9"/>
        </w:pBdr>
      </w:pPr>
      <w:r>
        <w:rPr>
          <w:rFonts w:ascii="Arial" w:hAnsi="Arial" w:eastAsia="Arial"/>
          <w:b/>
          <w:color w:val="000000"/>
          <w:sz w:val="32"/>
        </w:rPr>
        <w:t>Firmas de participantes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581"/>
        <w:gridCol w:w="3581"/>
        <w:gridCol w:w="3581"/>
      </w:tblGrid>
      <w:tr>
        <w:trPr>
          <w:tblHeader w:val="true"/>
        </w:trPr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</w:r>
            <w:r>
              <w:rPr>
                <w:rFonts w:ascii="Arial" w:hAnsi="Arial" w:eastAsia="Arial"/>
                <w:b/>
                <w:color w:val="FFFFFF"/>
                <w:sz w:val="17"/>
              </w:rPr>
              <w:t>Personal</w:t>
            </w:r>
          </w:p>
        </w:tc>
        <w:tc>
          <w:tcPr>
            <w:tcW w:type="dxa" w:w="3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</w:r>
            <w:r>
              <w:rPr>
                <w:rFonts w:ascii="Arial" w:hAnsi="Arial" w:eastAsia="Arial"/>
                <w:b/>
                <w:color w:val="FFFFFF"/>
                <w:sz w:val="17"/>
              </w:rPr>
              <w:t>Rol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2F64A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</w:r>
            <w:r>
              <w:rPr>
                <w:rFonts w:ascii="Arial" w:hAnsi="Arial" w:eastAsia="Arial"/>
                <w:b/>
                <w:color w:val="FFFFFF"/>
                <w:sz w:val="17"/>
              </w:rPr>
              <w:t>Firma</w:t>
            </w:r>
          </w:p>
        </w:tc>
      </w:tr>
      <w:tr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Romina Monserrat Barbosa Apodaca</w:t>
            </w:r>
          </w:p>
        </w:tc>
        <w:tc>
          <w:tcPr>
            <w:tcW w:type="dxa" w:w="3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Gerencia / coordinación de evaluación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Axel Martínez Rentería</w:t>
            </w:r>
          </w:p>
        </w:tc>
        <w:tc>
          <w:tcPr>
            <w:tcW w:type="dxa" w:w="3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Oficial de Seguridad / control de evidencia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Valeria Naomi Curiel Trinidad</w:t>
            </w:r>
          </w:p>
        </w:tc>
        <w:tc>
          <w:tcPr>
            <w:tcW w:type="dxa" w:w="3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  <w:t>Analista Afiliadas / validación operativa</w:t>
            </w:r>
          </w:p>
        </w:tc>
        <w:tc>
          <w:tcPr>
            <w:tcW w:type="dxa" w:w="25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  <w:r>
              <w:rPr>
                <w:rFonts w:ascii="Arial" w:hAnsi="Arial" w:eastAsia="Arial"/>
                <w:b w:val="0"/>
                <w:color w:val="000000"/>
                <w:sz w:val="17"/>
              </w:rPr>
            </w:r>
          </w:p>
        </w:tc>
      </w:tr>
    </w:tbl>
    <w:p/>
    <w:p>
      <w:r>
        <w:br w:type="page"/>
      </w:r>
    </w:p>
    <w:p>
      <w:pPr>
        <w:keepNext/>
        <w:spacing w:before="200" w:after="80"/>
        <w:pBdr>
          <w:bottom w:val="single" w:sz="4" w:space="2" w:color="D9D9D9"/>
        </w:pBdr>
      </w:pPr>
      <w:r>
        <w:rPr>
          <w:rFonts w:ascii="Arial" w:hAnsi="Arial" w:eastAsia="Arial"/>
          <w:b/>
          <w:color w:val="000000"/>
          <w:sz w:val="32"/>
        </w:rPr>
        <w:t>Firmas de revisión y autorización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71"/>
        <w:gridCol w:w="5371"/>
      </w:tblGrid>
      <w:tr>
        <w:tc>
          <w:tcPr>
            <w:tcW w:type="dxa" w:w="537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7"/>
              </w:rPr>
              <w:t>Revisó:</w:t>
            </w:r>
          </w:p>
        </w:tc>
        <w:tc>
          <w:tcPr>
            <w:tcW w:type="dxa" w:w="537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7"/>
              </w:rPr>
              <w:t>Autorizó:</w:t>
            </w:r>
          </w:p>
        </w:tc>
      </w:tr>
      <w:tr>
        <w:tc>
          <w:tcPr>
            <w:tcW w:type="dxa" w:w="537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/>
              <w:jc w:val="center"/>
            </w:pPr>
            <w:r/>
            <w:r>
              <w:br/>
              <w:br/>
            </w:r>
            <w:r>
              <w:rPr>
                <w:rFonts w:ascii="Arial" w:hAnsi="Arial" w:eastAsia="Arial"/>
                <w:b w:val="0"/>
                <w:color w:val="000000"/>
                <w:sz w:val="18"/>
              </w:rPr>
              <w:t>COORDINADOR MMTO.</w:t>
              <w:br/>
            </w:r>
            <w:r>
              <w:rPr>
                <w:rFonts w:ascii="Arial" w:hAnsi="Arial" w:eastAsia="Arial"/>
                <w:b w:val="0"/>
                <w:color w:val="000000"/>
                <w:sz w:val="18"/>
              </w:rPr>
              <w:t>Raúl Ernesto Galindo</w:t>
            </w:r>
          </w:p>
        </w:tc>
        <w:tc>
          <w:tcPr>
            <w:tcW w:type="dxa" w:w="537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/>
              <w:jc w:val="center"/>
            </w:pPr>
            <w:r/>
            <w:r>
              <w:br/>
              <w:br/>
            </w:r>
            <w:r>
              <w:rPr>
                <w:rFonts w:ascii="Arial" w:hAnsi="Arial" w:eastAsia="Arial"/>
                <w:b w:val="0"/>
                <w:color w:val="000000"/>
                <w:sz w:val="18"/>
              </w:rPr>
              <w:t>GERENCIA</w:t>
              <w:br/>
            </w:r>
            <w:r>
              <w:rPr>
                <w:rFonts w:ascii="Arial" w:hAnsi="Arial" w:eastAsia="Arial"/>
                <w:b w:val="0"/>
                <w:color w:val="000000"/>
                <w:sz w:val="18"/>
              </w:rPr>
              <w:t>Romina Monserrat Barbosa Apodaca</w:t>
            </w:r>
          </w:p>
        </w:tc>
      </w:tr>
      <w:tr>
        <w:tc>
          <w:tcPr>
            <w:tcW w:type="dxa" w:w="537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7"/>
              </w:rPr>
              <w:t>Autorizó:</w:t>
            </w:r>
          </w:p>
        </w:tc>
        <w:tc>
          <w:tcPr>
            <w:tcW w:type="dxa" w:w="537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  <w:vAlign w:val="center"/>
            <w:shd w:fill="FFFFFF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color w:val="000000"/>
                <w:sz w:val="17"/>
              </w:rPr>
              <w:t>Elaboró / Oficial de Seguridad:</w:t>
            </w:r>
          </w:p>
        </w:tc>
      </w:tr>
      <w:tr>
        <w:tc>
          <w:tcPr>
            <w:tcW w:type="dxa" w:w="537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/>
              <w:jc w:val="center"/>
            </w:pPr>
            <w:r/>
            <w:r>
              <w:br/>
              <w:br/>
            </w:r>
            <w:r>
              <w:rPr>
                <w:rFonts w:ascii="Arial" w:hAnsi="Arial" w:eastAsia="Arial"/>
                <w:b w:val="0"/>
                <w:color w:val="000000"/>
                <w:sz w:val="18"/>
              </w:rPr>
              <w:t>COORDINADOR ATENCIÓN A CLIENTES</w:t>
              <w:br/>
            </w:r>
            <w:r>
              <w:rPr>
                <w:rFonts w:ascii="Arial" w:hAnsi="Arial" w:eastAsia="Arial"/>
                <w:b w:val="0"/>
                <w:color w:val="000000"/>
                <w:sz w:val="18"/>
              </w:rPr>
              <w:t>Ramón Gabriel Salazar Rocha</w:t>
            </w:r>
          </w:p>
        </w:tc>
        <w:tc>
          <w:tcPr>
            <w:tcW w:type="dxa" w:w="5371"/>
            <w:tcBorders>
              <w:top w:val="single" w:sz="4" w:color="000000"/>
              <w:left w:val="single" w:sz="4" w:color="000000"/>
              <w:bottom w:val="single" w:sz="4" w:color="000000"/>
              <w:right w:val="single" w:sz="4" w:color="000000"/>
            </w:tcBorders>
          </w:tcPr>
          <w:p>
            <w:pPr>
              <w:spacing w:after="0"/>
              <w:jc w:val="center"/>
            </w:pPr>
            <w:r/>
            <w:r>
              <w:br/>
              <w:br/>
            </w:r>
            <w:r>
              <w:rPr>
                <w:rFonts w:ascii="Arial" w:hAnsi="Arial" w:eastAsia="Arial"/>
                <w:b w:val="0"/>
                <w:color w:val="000000"/>
                <w:sz w:val="18"/>
              </w:rPr>
              <w:t>ANALISTA ADMINISTRATIVO</w:t>
              <w:br/>
            </w:r>
            <w:r>
              <w:rPr>
                <w:rFonts w:ascii="Arial" w:hAnsi="Arial" w:eastAsia="Arial"/>
                <w:b w:val="0"/>
                <w:color w:val="000000"/>
                <w:sz w:val="18"/>
              </w:rPr>
              <w:t>Axel Martínez Rentería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749" w:right="749" w:bottom="792" w:left="7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 w:after="0"/>
      <w:jc w:val="center"/>
    </w:pPr>
    <w:r>
      <w:rPr>
        <w:rFonts w:ascii="Arial" w:hAnsi="Arial"/>
        <w:sz w:val="12"/>
      </w:rPr>
      <w:t xml:space="preserve">El contenido de este documento pertenece enteramente a </w:t>
    </w:r>
    <w:r>
      <w:rPr>
        <w:rFonts w:ascii="Arial" w:hAnsi="Arial"/>
        <w:b/>
        <w:sz w:val="12"/>
      </w:rPr>
      <w:t>SENDERO FUEL</w:t>
    </w:r>
    <w:r>
      <w:rPr>
        <w:rFonts w:ascii="Arial" w:hAnsi="Arial"/>
        <w:sz w:val="12"/>
      </w:rPr>
      <w:t xml:space="preserve"> S.A. DE C.V. y es de carácter estrictamente confidencial. Este material deberá permanecer en todo momento en el ambiente interno de </w:t>
    </w:r>
    <w:r>
      <w:rPr>
        <w:rFonts w:ascii="Arial" w:hAnsi="Arial"/>
        <w:b/>
        <w:sz w:val="12"/>
      </w:rPr>
      <w:t>SENDERO FUEL</w:t>
    </w:r>
    <w:r>
      <w:rPr>
        <w:rFonts w:ascii="Arial" w:hAnsi="Arial"/>
        <w:sz w:val="12"/>
      </w:rPr>
      <w:t xml:space="preserve"> S.A. DE C.V.</w:t>
    </w:r>
  </w:p>
  <w:p>
    <w:pPr>
      <w:spacing w:before="0" w:after="0"/>
      <w:jc w:val="center"/>
    </w:pPr>
    <w:r>
      <w:rPr>
        <w:rFonts w:ascii="Arial" w:hAnsi="Arial"/>
        <w:b/>
        <w:sz w:val="12"/>
      </w:rPr>
      <w:t>SENDERO FUEL</w:t>
    </w:r>
    <w:r>
      <w:rPr>
        <w:rFonts w:ascii="Arial" w:hAnsi="Arial"/>
        <w:sz w:val="12"/>
      </w:rPr>
      <w:t xml:space="preserve"> S.A. DE C.V. podrá ejercer acción legal en contra de el o los individuos que hagan uso indebido de la información contenida en este documento, o que hayan facilitado dicho uso indebido.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2142"/>
      <w:gridCol w:w="2142"/>
      <w:gridCol w:w="2142"/>
      <w:gridCol w:w="2142"/>
      <w:gridCol w:w="2142"/>
    </w:tblGrid>
    <w:tr>
      <w:tc>
        <w:tcPr>
          <w:tcW w:type="dxa" w:w="1984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  <w:vAlign w:val="center"/>
        </w:tcPr>
        <w:p>
          <w:pPr>
            <w:spacing w:before="0" w:after="0" w:line="240" w:lineRule="auto"/>
            <w:jc w:val="center"/>
          </w:pPr>
          <w:r/>
          <w:r>
            <w:rPr>
              <w:rFonts w:ascii="Arial" w:hAnsi="Arial" w:eastAsia="Arial"/>
              <w:b/>
              <w:color w:val="000000"/>
              <w:sz w:val="20"/>
            </w:rPr>
            <w:t>FO-SF-114</w:t>
          </w:r>
        </w:p>
      </w:tc>
      <w:tc>
        <w:tcPr>
          <w:tcW w:type="dxa" w:w="6689"/>
          <w:gridSpan w:val="3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  <w:vAlign w:val="center"/>
        </w:tcPr>
        <w:p>
          <w:pPr>
            <w:spacing w:before="0" w:after="0" w:line="240" w:lineRule="auto"/>
            <w:jc w:val="center"/>
          </w:pPr>
          <w:r/>
          <w:r>
            <w:rPr>
              <w:rFonts w:ascii="Arial" w:hAnsi="Arial" w:eastAsia="Arial"/>
              <w:b/>
              <w:color w:val="000000"/>
              <w:sz w:val="20"/>
            </w:rPr>
            <w:t>Cédula de evaluación anual de capacidad</w:t>
          </w:r>
        </w:p>
      </w:tc>
      <w:tc>
        <w:tcPr>
          <w:tcW w:type="dxa" w:w="1984"/>
          <w:vMerge w:val="restart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450000" cy="40384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O-SF-108_Acta_de_prueba_BCP.docx_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0000" cy="40384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/>
              <w:b/>
              <w:sz w:val="16"/>
            </w:rPr>
            <w:br/>
            <w:t>SENDERO FUEL</w:t>
          </w:r>
        </w:p>
      </w:tc>
    </w:tr>
    <w:tr>
      <w:tc>
        <w:tcPr>
          <w:tcW w:type="dxa" w:w="1984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  <w:vAlign w:val="center"/>
        </w:tcPr>
        <w:p>
          <w:pPr>
            <w:spacing w:before="0" w:after="0" w:line="240" w:lineRule="auto"/>
            <w:jc w:val="center"/>
          </w:pPr>
          <w:r/>
          <w:r>
            <w:rPr>
              <w:rFonts w:ascii="Arial" w:hAnsi="Arial" w:eastAsia="Arial"/>
              <w:b w:val="0"/>
              <w:color w:val="000000"/>
              <w:sz w:val="18"/>
            </w:rPr>
            <w:t>Emisión: 05/06/2026</w:t>
          </w:r>
        </w:p>
      </w:tc>
      <w:tc>
        <w:tcPr>
          <w:tcW w:type="dxa" w:w="2324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  <w:vAlign w:val="center"/>
        </w:tcPr>
        <w:p>
          <w:pPr>
            <w:spacing w:before="0" w:after="0" w:line="240" w:lineRule="auto"/>
            <w:jc w:val="center"/>
          </w:pPr>
          <w:r/>
          <w:r>
            <w:rPr>
              <w:rFonts w:ascii="Arial" w:hAnsi="Arial" w:eastAsia="Arial"/>
              <w:b w:val="0"/>
              <w:color w:val="000000"/>
              <w:sz w:val="18"/>
            </w:rPr>
            <w:t>Revisión: 05/06/2026</w:t>
          </w:r>
        </w:p>
      </w:tc>
      <w:tc>
        <w:tcPr>
          <w:tcW w:type="dxa" w:w="4365"/>
          <w:gridSpan w:val="2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  <w:vAlign w:val="center"/>
        </w:tcPr>
        <w:p>
          <w:pPr>
            <w:spacing w:before="0" w:after="0" w:line="240" w:lineRule="auto"/>
            <w:jc w:val="center"/>
          </w:pPr>
          <w:r/>
          <w:r>
            <w:rPr>
              <w:rFonts w:ascii="Arial" w:hAnsi="Arial" w:eastAsia="Arial"/>
              <w:b w:val="0"/>
              <w:color w:val="000000"/>
              <w:sz w:val="18"/>
            </w:rPr>
            <w:t>Versión: 1        Formato</w:t>
          </w:r>
        </w:p>
      </w:tc>
      <w:tc>
        <w:tcPr>
          <w:tcW w:type="dxa" w:w="1984"/>
          <w:vMerge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/>
      </w:tc>
    </w:tr>
    <w:tr>
      <w:tc>
        <w:tcPr>
          <w:tcW w:type="dxa" w:w="8673"/>
          <w:gridSpan w:val="4"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  <w:vAlign w:val="center"/>
        </w:tcPr>
        <w:p>
          <w:pPr>
            <w:spacing w:before="0" w:after="0" w:line="240" w:lineRule="auto"/>
            <w:jc w:val="left"/>
          </w:pPr>
          <w:r/>
          <w:r>
            <w:rPr>
              <w:rFonts w:ascii="Arial" w:hAnsi="Arial" w:eastAsia="Arial"/>
              <w:b w:val="0"/>
              <w:color w:val="000000"/>
              <w:sz w:val="18"/>
            </w:rPr>
            <w:t>Área: CONTROL INTERNO</w:t>
          </w:r>
        </w:p>
      </w:tc>
      <w:tc>
        <w:tcPr>
          <w:tcW w:type="dxa" w:w="1984"/>
          <w:vMerge/>
          <w:tcBorders>
            <w:top w:sz="6" w:val="single" w:color="000000"/>
            <w:left w:sz="6" w:val="single" w:color="000000"/>
            <w:bottom w:sz="6" w:val="single" w:color="000000"/>
            <w:right w:sz="6" w:val="single" w:color="000000"/>
          </w:tcBorders>
        </w:tcPr>
        <w:p/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