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FO-SF-0083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REGISTRO DE REÚSO, BORRADO SEGURO Y DESTRUCCIÓN DE MEDIOS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1. REGISTRO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</w:tblGrid>
      <w:tr>
        <w:trPr>
          <w:tblHeader w:val="true"/>
        </w:trP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Folio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Activo / medio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Tipo de medio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Serie / capacidad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Acción</w:t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Método aplicado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Resultado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Evidencia / observaciones</w:t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color w:val="7F7F7F"/>
          <w:sz w:val="18"/>
        </w:rPr>
        <w:t>Acción: reúso, borrado seguro o destrucción. Registrar método y evidencia disponible para cada evento.</w:t>
      </w:r>
    </w:p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