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FO-SF-0079</w:t>
            </w:r>
          </w:p>
        </w:tc>
        <w:tc>
          <w:tcPr>
            <w:tcW w:type="dxa" w:w="8727"/>
            <w:gridSpan w:val="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2"/>
              </w:rPr>
              <w:t>MATRIZ DE CONTROLES FÍSICOS DE ACCESO A OFICINAS</w:t>
            </w:r>
          </w:p>
        </w:tc>
        <w:tc>
          <w:tcPr>
            <w:tcW w:type="dxa" w:w="2909"/>
            <w:vMerge w:val="restart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after="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43000" cy="32262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226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31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31"/>
              </w:rPr>
              <w:t>FUEL</w:t>
            </w:r>
          </w:p>
        </w:tc>
      </w:tr>
      <w:tr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09"/>
            <w:vMerge/>
          </w:tcPr>
          <w:p/>
        </w:tc>
      </w:tr>
      <w:tr>
        <w:tc>
          <w:tcPr>
            <w:tcW w:type="dxa" w:w="11636"/>
            <w:gridSpan w:val="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ADMINISTRACIÓN / SEGURIDAD DE LA INFORMACIÓN</w:t>
            </w:r>
          </w:p>
        </w:tc>
        <w:tc>
          <w:tcPr>
            <w:tcW w:type="dxa" w:w="2909"/>
            <w:vMerge/>
          </w:tcPr>
          <w:p/>
        </w:tc>
      </w:tr>
    </w:tbl>
    <w:p/>
    <w:p>
      <w:pPr>
        <w:spacing w:before="120" w:after="80"/>
      </w:pPr>
      <w:r>
        <w:rPr>
          <w:rFonts w:ascii="Aptos" w:hAnsi="Aptos" w:eastAsia="Aptos"/>
          <w:b/>
          <w:i w:val="0"/>
          <w:color w:val="365F91"/>
          <w:sz w:val="34"/>
        </w:rPr>
        <w:t>1. IDENTIFICACIÓN DE CONTROLES POR SEDE Y PUNTO DE ACCESO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4"/>
        <w:gridCol w:w="1454"/>
        <w:gridCol w:w="1454"/>
        <w:gridCol w:w="1454"/>
        <w:gridCol w:w="1454"/>
        <w:gridCol w:w="1454"/>
        <w:gridCol w:w="1454"/>
        <w:gridCol w:w="1454"/>
        <w:gridCol w:w="1454"/>
        <w:gridCol w:w="1454"/>
      </w:tblGrid>
      <w:tr>
        <w:trPr>
          <w:cantSplit/>
          <w:tblHeader w:val="true"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Sede / oficina</w:t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Punto de acceso</w:t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Tipo de área</w:t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Control implementado</w:t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Cómo impide acceso no autorizado</w:t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Perfiles autorizados</w:t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Horario / vigencia</w:t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Responsable</w:t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Evidencia asociada</w:t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7"/>
              </w:rPr>
              <w:t>Contingencia</w:t>
            </w:r>
          </w:p>
        </w:tc>
      </w:tr>
      <w:tr>
        <w:trPr>
          <w:cantSplit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Acceso principal</w:t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Recepción</w:t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Área de carga y descarga</w:t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Archivo / resguardo documental</w:t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  <w:t>SITE local / telecom / TI</w:t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30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89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6"/>
              </w:rPr>
            </w:r>
          </w:p>
        </w:tc>
      </w:tr>
    </w:tbl>
    <w:p/>
    <w:p>
      <w:pPr>
        <w:spacing w:before="0" w:after="0"/>
      </w:pPr>
      <w:r>
        <w:rPr>
          <w:rFonts w:ascii="Aptos" w:hAnsi="Aptos" w:eastAsia="Aptos"/>
          <w:b w:val="0"/>
          <w:i w:val="0"/>
          <w:color w:val="7F7F7F"/>
          <w:sz w:val="18"/>
        </w:rPr>
        <w:t>Instrucción: documentar al menos acceso principal y áreas de carga y descarga, así como cualquier otra zona con restricción de acceso en oficinas.</w:t>
      </w:r>
    </w:p>
    <w:sectPr w:rsidR="00FC693F" w:rsidRPr="0006063C" w:rsidSect="00034616">
      <w:footerReference w:type="default" r:id="rId9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ptos" w:hAnsi="Aptos" w:eastAsia="Aptos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