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FO-SF-0077</w:t>
            </w:r>
          </w:p>
        </w:tc>
        <w:tc>
          <w:tcPr>
            <w:tcW w:type="dxa" w:w="8727"/>
            <w:gridSpan w:val="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REGISTRO MAESTRO DE PERSONAL AUTORIZADO PARA ACCESO A OFICINAS</w:t>
            </w:r>
          </w:p>
        </w:tc>
        <w:tc>
          <w:tcPr>
            <w:tcW w:type="dxa" w:w="2909"/>
            <w:vMerge w:val="restart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after="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43000" cy="3226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226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09"/>
            <w:vMerge/>
          </w:tcPr>
          <w:p/>
        </w:tc>
      </w:tr>
      <w:tr>
        <w:tc>
          <w:tcPr>
            <w:tcW w:type="dxa" w:w="11636"/>
            <w:gridSpan w:val="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ADMINISTRACIÓN / SEGURIDAD DE LA INFORMACIÓN</w:t>
            </w:r>
          </w:p>
        </w:tc>
        <w:tc>
          <w:tcPr>
            <w:tcW w:type="dxa" w:w="2909"/>
            <w:vMerge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1. REGISTRO VIGENTE E HISTÓRICO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rPr>
          <w:cantSplit/>
          <w:tblHeader w:val="true"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Folio</w:t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Nombre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ID / Empresa</w:t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Puesto / relación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Sede</w:t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Puntos de acceso autorizados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Horario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Vigencia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Estatus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Aprobó</w:t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Últ. revisión</w:t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Observaciones</w:t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8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72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i w:val="0"/>
          <w:color w:val="7F7F7F"/>
          <w:sz w:val="18"/>
        </w:rPr>
        <w:t>Instrucción: conservar el estado vigente y el histórico de altas, cambios y bajas; actualizar de inmediato ante movimiento de personal o cambio de autorización.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 w:eastAsia="Aptos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