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los </w:t>
      </w:r>
      <w:r>
        <w:rPr>
          <w:rFonts w:ascii="Calibri" w:cs="Calibri" w:eastAsia="Calibri" w:hAnsi="Calibri"/>
          <w:b/>
          <w:bCs/>
          <w:color w:val="333333"/>
          <w:sz w:val="20"/>
          <w:szCs w:val="20"/>
        </w:rPr>
        <w:t xml:space="preserve">controles de cifrado</w:t>
      </w:r>
      <w:r>
        <w:rPr>
          <w:rFonts w:ascii="Calibri" w:cs="Calibri" w:eastAsia="Calibri" w:hAnsi="Calibri"/>
          <w:b w:val="false"/>
          <w:bCs w:val="false"/>
          <w:color w:val="333333"/>
          <w:sz w:val="20"/>
          <w:szCs w:val="20"/>
        </w:rPr>
        <w:t xml:space="preserve"> son el conjunto de mecanismos técnicos, administrativos y operativos destinados a proteger la confidencialidad, integridad y, cuando corresponda, la autenticidad de la información mediante el uso de algoritmos criptográficos, llaves, certificados digitales, protocolos seguros y prácticas de gestión asociadas.</w:t>
      </w:r>
    </w:p>
    <w:p>
      <w:pPr>
        <w:spacing w:after="120" w:before="0" w:line="276"/>
        <w:jc w:val="both"/>
      </w:pPr>
      <w:r>
        <w:rPr>
          <w:rFonts w:ascii="Calibri" w:cs="Calibri" w:eastAsia="Calibri" w:hAnsi="Calibri"/>
          <w:b w:val="false"/>
          <w:bCs w:val="false"/>
          <w:color w:val="333333"/>
          <w:sz w:val="20"/>
          <w:szCs w:val="20"/>
        </w:rPr>
        <w:t xml:space="preserve">Esta política establece las reglas bajo las cuales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identifica, implementa, administra, supervisa y controla el cifrado en sistemas, redes y servicios de red relacionados con la operación del monedero electrónico de combustibles, así como en cualquier otro activo que procese, almacene o transmita información sensible, confidencial o de contribuyentes.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los lineamientos para el uso, administración y supervisión de controles de cifrado en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a fin de proteger la información de los contribuyentes, los sistemas relacionados con el monedero electrónico de combustibles, las comunicaciones internas y externas, y los activos tecnológicos críticos de la organización.</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La presente política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sistemas, redes, servicios de red, bases de datos, aplicativos, repositorios, respaldos y dispositivos que procesen, almacenen o transmitan información relacionada con la operación del monedero electrónico de combustibles;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información de contribuyentes resguardada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el personal de </w:t>
      </w:r>
      <w:r>
        <w:rPr>
          <w:rFonts w:ascii="Calibri" w:cs="Calibri" w:eastAsia="Calibri" w:hAnsi="Calibri"/>
          <w:b/>
          <w:bCs/>
          <w:color w:val="333333"/>
          <w:sz w:val="20"/>
          <w:szCs w:val="20"/>
        </w:rPr>
        <w:t xml:space="preserve">SENDERO FUEL;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Proveedores, terceros, consultores o prestadores de servicios que administren, operen, desarrollen o tengan acceso a infraestructura, sistemas o información sujeta a cifrado.</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FO-SF-091 — FO-SF-0091_Inventario_de_sistemas_redes_y_servicios_con_controles_de_cifrado.docx</w:t>
      </w:r>
    </w:p>
    <w:p>
      <w:pPr>
        <w:spacing w:after="60" w:before="60" w:line="276"/>
      </w:pPr>
      <w:r>
        <w:rPr>
          <w:rFonts w:ascii="Calibri" w:cs="Calibri" w:eastAsia="Calibri" w:hAnsi="Calibri"/>
          <w:b w:val="false"/>
          <w:bCs w:val="false"/>
          <w:color w:val="333333"/>
          <w:sz w:val="20"/>
          <w:szCs w:val="20"/>
        </w:rPr>
        <w:t xml:space="preserve">• FO-SF-092 — FO-SF-0092_Solicitud_y_autorizacion_de_uso_o_excepcion_de_controles_de_cifrado.docx</w:t>
      </w:r>
    </w:p>
    <w:p>
      <w:pPr>
        <w:spacing w:after="60" w:before="60" w:line="276"/>
      </w:pPr>
      <w:r>
        <w:rPr>
          <w:rFonts w:ascii="Calibri" w:cs="Calibri" w:eastAsia="Calibri" w:hAnsi="Calibri"/>
          <w:b w:val="false"/>
          <w:bCs w:val="false"/>
          <w:color w:val="333333"/>
          <w:sz w:val="20"/>
          <w:szCs w:val="20"/>
        </w:rPr>
        <w:t xml:space="preserve">• FO-SF-093 — FO-SF-0093_Registro_de_administracion_de_llaves_criptograficas.docx</w:t>
      </w:r>
    </w:p>
    <w:p>
      <w:pPr>
        <w:spacing w:after="60" w:before="60" w:line="276"/>
      </w:pPr>
      <w:r>
        <w:rPr>
          <w:rFonts w:ascii="Calibri" w:cs="Calibri" w:eastAsia="Calibri" w:hAnsi="Calibri"/>
          <w:b w:val="false"/>
          <w:bCs w:val="false"/>
          <w:color w:val="333333"/>
          <w:sz w:val="20"/>
          <w:szCs w:val="20"/>
        </w:rPr>
        <w:t xml:space="preserve">• FO-SF-094 — FO-SF-0094_Bitacora_de_revision_rotacion_y_revocacion_de_llaves_certificados.docx</w:t>
      </w:r>
    </w:p>
    <w:p>
      <w:pPr>
        <w:spacing w:after="60" w:before="60" w:line="276"/>
      </w:pPr>
      <w:r>
        <w:rPr>
          <w:rFonts w:ascii="Calibri" w:cs="Calibri" w:eastAsia="Calibri" w:hAnsi="Calibri"/>
          <w:b w:val="false"/>
          <w:bCs w:val="false"/>
          <w:color w:val="333333"/>
          <w:sz w:val="20"/>
          <w:szCs w:val="20"/>
        </w:rPr>
        <w:t xml:space="preserve">• FO-SF-095 — FO-SF-0095_Registro_de_situacion_fortuita_relacionada_con_controles_de_cifrado.docx</w:t>
      </w:r>
    </w:p>
    <w:p>
      <w:pPr>
        <w:spacing w:after="60" w:before="60" w:line="276"/>
      </w:pPr>
      <w:r>
        <w:rPr>
          <w:rFonts w:ascii="Calibri" w:cs="Calibri" w:eastAsia="Calibri" w:hAnsi="Calibri"/>
          <w:b w:val="false"/>
          <w:bCs w:val="false"/>
          <w:color w:val="333333"/>
          <w:sz w:val="20"/>
          <w:szCs w:val="20"/>
        </w:rPr>
        <w:t xml:space="preserve">• req_31_PO_SF_012.pdf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d9e6f2"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shd w:fill="d9e6f2"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Responsabilidades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Dirección General / Representante Legal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la política, asignar recursos, exigir cumplimiento y firmar/rubricar la documentación que corresponda para verificación tecnológica.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 Seguridad de la Información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Mantener la política, evaluar excepciones, validar controles criptográficos, coordinar revisiones, clasificar situaciones fortuitas y conservar evidencias de cumplimiento.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 TI / Infraestructura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Implementar cifrado en sistemas, redes y servicios; administrar certificados, llaves, bóvedas y KMS/HSM; ejecutar rotaciones; mantener inventarios y evidencias técnicas.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Desarrollo / DevOps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Aplicar criptografía aprobada en aplicativos, APIs y pipelines; proteger secretos; evitar llaves en código fuente; documentar controles en cada desarrollo o cambio.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Administradores de sistemas, redes y bases de datos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Configurar protocolos seguros, restringir protocolos inseguros, proteger accesos administrativos, monitorear expiraciones y reportar desviaciones o fallas.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Dueños de activos y procesos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Identificar información que requiere cifrado, validar necesidades del negocio, aprobar solicitudes vinculadas a sus activos y participar en revisiones.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Recursos Humanos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Apoyar en medidas disciplinarias por incumplimiento y coordinar obligaciones de confidencialidad y seguridad aplicables al personal.</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Proveedores y terceros autorizados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Cumplir los requisitos de cifrado establecidos por SENDERO FUEL, proteger llaves o credenciales otorgadas y reportar cualquier desviación o incidente.</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Auditoría / Compliance</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Verificar cumplimiento documental y operativo, revisar formatos relacionados, levantar hallazgos y dar seguimiento a planes de remediación.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Usuarios autorizados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Usar únicamente medios, canales y herramientas autorizadas; no compartir credenciales o llaves; reportar sospechas de exposición o fallas de cifrado.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definicion_de_los_sistemas_redes_y_servicios_de_red_que_implementan_controles_de_cifrado" w:id="1"/>
      <w:r>
        <w:t xml:space="preserve"/>
      </w:r>
      <w:bookmarkEnd w:id="1"/>
      <w:r>
        <w:rPr>
          <w:rFonts w:ascii="Calibri" w:cs="Calibri" w:eastAsia="Calibri" w:hAnsi="Calibri"/>
          <w:b/>
          <w:bCs/>
          <w:color w:val="000000"/>
          <w:sz w:val="28"/>
          <w:szCs w:val="28"/>
        </w:rPr>
        <w:t xml:space="preserve">7. DEFINICIÓN DE LOS SISTEMAS, REDES Y SERVICIOS DE RED QUE IMPLEMENTAN CONTROLES DE CIFRADO.</w:t>
      </w:r>
    </w:p>
    <w:p>
      <w:r>
        <w:rPr>
          <w:sz w:val="2"/>
          <w:szCs w:val="2"/>
        </w:rPr>
        <w:t xml:space="preserve"/>
      </w:r>
    </w:p>
    <w:p>
      <w:pPr>
        <w:pStyle w:val="ListParagraph"/>
        <w:numPr>
          <w:ilvl w:val="0"/>
          <w:numId w:val="1"/>
        </w:numPr>
        <w:spacing w:line="276"/>
        <w:jc w:val="left"/>
      </w:pPr>
      <w:r>
        <w:rPr>
          <w:rFonts w:ascii="Calibri" w:cs="Calibri" w:eastAsia="Calibri" w:hAnsi="Calibri"/>
          <w:b/>
          <w:bCs/>
          <w:color w:val="333333"/>
          <w:sz w:val="20"/>
          <w:szCs w:val="20"/>
        </w:rPr>
        <w:t xml:space="preserve">Sistemas del monedero electrónico de combustibles</w:t>
      </w:r>
      <w:r>
        <w:rPr>
          <w:rFonts w:ascii="Calibri" w:cs="Calibri" w:eastAsia="Calibri" w:hAnsi="Calibri"/>
          <w:b w:val="false"/>
          <w:bCs w:val="false"/>
          <w:color w:val="333333"/>
          <w:sz w:val="20"/>
          <w:szCs w:val="20"/>
        </w:rPr>
        <w:t xml:space="preserve">: portal administrativo, portales de clientes, APIs, servicios transaccionales, servicios de autenticación, interfaces de conciliación, liquidación, compensación y emisión de información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Bases de datos, repositorios de información, reportes, archivos de intercambio, respaldos y bitácoras que contengan información de contribuyentes, clientes, beneficiarios, estaciones de servicio, transacciones, credenciales o datos clasificados como confidenciales o restringidos.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Redes y servicios de red: HTTPS/TLS, VPN, SSH, SFTP, SMTP con TLS, API Gateway, balanceadores, WAF, firewalls, túneles seguros, administración remota y enlaces entre ambientes de desarrollo, pruebas y producción.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Repositorios de código fuente, pipelines de integración y despliegue, administradores de secretos, bóvedas de credenciales, servicios de KMS/HSM o equivalentes, así como certificados digitales utilizados por aplicaciones, infraestructura o proveedores.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Equipos de cómputo, dispositivos móviles autorizados, medios removibles autorizados y equipos fuera de oficina que almacenen o procesen información relacionada con la operación del monedero electrónico.</w:t>
      </w:r>
    </w:p>
    <w:p>
      <w:r>
        <w:t xml:space="preserve"> </w:t>
      </w:r>
    </w:p>
    <w:p>
      <w:pPr>
        <w:pStyle w:val="Heading1"/>
        <w:pBdr>
          <w:bottom w:val="single" w:color="D9D9D9" w:sz="4" w:space="8"/>
        </w:pBdr>
        <w:spacing w:after="200" w:before="400" w:line="240"/>
      </w:pPr>
      <w:bookmarkStart w:name="section_7_condiciones_para_el_uso_de_controles_de_cifrado" w:id="1"/>
      <w:r>
        <w:t xml:space="preserve"/>
      </w:r>
      <w:bookmarkEnd w:id="1"/>
      <w:r>
        <w:rPr>
          <w:rFonts w:ascii="Calibri" w:cs="Calibri" w:eastAsia="Calibri" w:hAnsi="Calibri"/>
          <w:b/>
          <w:bCs/>
          <w:color w:val="000000"/>
          <w:sz w:val="28"/>
          <w:szCs w:val="28"/>
        </w:rPr>
        <w:t xml:space="preserve">8. CONDICIONES PARA EL USO DE CONTROLES DE CIFRADO</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información clasificada como confidencial deberá cifrarse cuando sea almacenada, transmitida por redes públicas o no confiables, transferida a proveedores, respaldada fuera del centro de datos, exportada para análisis o resguardada en medios removibles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comunicación entre usuarios, sistemas, APIs, servicios de red, bases de datos, repositorios, herramientas de administración y proveedores deberá utilizar protocolos seguros y versiones vigentes, preferentemente TLS 1.2 o superior, SSH, SFTP, VPN o mecanismos equivalentes aprobados por TI y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Queda prohibido transmitir credenciales, tokens, llaves, secretos, información de contribuyentes o información transaccional por medios sin cifrado, así como utilizar protocolos inseguros o algoritmos obsoletos, salvo excepción formal, temporal, justificada y aprobada por la Dirección y el Responsable de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mecanismos criptográficos deberán configurarse bajo principios de mínimo privilegio, separación de funciones, trazabilidad, vigencia controlada, revisión periódica y documentación de evidencias.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controles de cifrado no deberán deshabilitarse, modificarse o eludirse sin autorización formal y sin evaluación previa de riesgo.</w:t>
      </w:r>
    </w:p>
    <w:p>
      <w:r>
        <w:t xml:space="preserve"> </w:t>
      </w:r>
    </w:p>
    <w:p>
      <w:pPr>
        <w:pStyle w:val="Heading1"/>
        <w:pBdr>
          <w:bottom w:val="single" w:color="D9D9D9" w:sz="4" w:space="8"/>
        </w:pBdr>
        <w:spacing w:after="200" w:before="400" w:line="240"/>
      </w:pPr>
      <w:bookmarkStart w:name="section_8_administracion_de_llaves_utilizadas_en_los_controles_de_cifrado_uso_resguardo_disposicion_entre_otros" w:id="1"/>
      <w:r>
        <w:t xml:space="preserve"/>
      </w:r>
      <w:bookmarkEnd w:id="1"/>
      <w:r>
        <w:rPr>
          <w:rFonts w:ascii="Calibri" w:cs="Calibri" w:eastAsia="Calibri" w:hAnsi="Calibri"/>
          <w:b/>
          <w:bCs/>
          <w:color w:val="000000"/>
          <w:sz w:val="28"/>
          <w:szCs w:val="28"/>
        </w:rPr>
        <w:t xml:space="preserve">9. ADMINISTRACIÓN DE LLAVES UTILIZADAS EN LOS CONTROLES DE CIFRADO (USO, RESGUARDO, DISPOSICIÓN, ENTRE OTROS).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Generación: las llaves, certificados, secretos y material criptográfico deberán generarse mediante herramientas confiables, con longitud, algoritmo y vigencia acordes con el riesgo, criticidad del activo y mejores prácticas vigentes.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Identificación: toda llave, certificado o secreto deberá contar con identificador, propietario, custodio, sistema asociado, fecha de creación, vigencia, propósito de uso, ubicación de resguardo y evidencia de aprobación.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las llaves sólo podrán utilizarse para el propósito autorizado. Se prohíbe reutilizar llaves entre ambientes de desarrollo, pruebas y producción, salvo autorización formal y evaluación de riesgo.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Resguardo: las llaves privadas, contraseñas maestras, tokens y secretos deberán mantenerse en bóvedas, KMS/HSM, administradores de secretos o repositorios seguros autorizados. Se prohíbe almacenarlos en texto claro, código fuente, hojas de cálculo sin protección, correos electrónicos o medios no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el acceso a llaves será limitado al personal estrictamente necesario, autorizado por rol y registrado en el formato correspondiente. Deberán aplicarse controles de autenticación robusta y trazabilidad de 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Rotación y renovación: las llaves y certificados deberán rotarse o renovarse antes de su vencimiento, ante sospecha de compromiso, cambio de personal con acceso, cambios relevantes de infraestructura o por instrucción de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Respaldo y recuperación: cuando aplique, el respaldo de llaves deberá estar cifrado, protegido contra acceso no autorizado y probado de forma controlada para asegurar su disponibilidad ante contingencia.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y disposición: las llaves comprometidas, vencidas, sustituidas o no requeridas deberán revocarse, destruirse o inutilizarse de forma segura, conservando evidencia de la acción realizada.</w:t>
      </w:r>
    </w:p>
    <w:p>
      <w:r>
        <w:t xml:space="preserve"> </w:t>
      </w:r>
    </w:p>
    <w:p>
      <w:pPr>
        <w:pStyle w:val="Heading1"/>
        <w:pBdr>
          <w:bottom w:val="single" w:color="D9D9D9" w:sz="4" w:space="8"/>
        </w:pBdr>
        <w:spacing w:after="200" w:before="400" w:line="240"/>
      </w:pPr>
      <w:bookmarkStart w:name="section_9_penalizaciones_por_incumplimiento_a_lo_establecido_en_la_politica" w:id="1"/>
      <w:r>
        <w:t xml:space="preserve"/>
      </w:r>
      <w:bookmarkEnd w:id="1"/>
      <w:r>
        <w:rPr>
          <w:rFonts w:ascii="Calibri" w:cs="Calibri" w:eastAsia="Calibri" w:hAnsi="Calibri"/>
          <w:b/>
          <w:bCs/>
          <w:color w:val="000000"/>
          <w:sz w:val="28"/>
          <w:szCs w:val="28"/>
        </w:rPr>
        <w:t xml:space="preserve">10. PENALIZACIONES POR INCUMPLIMIENTO  A LO ESTABLECIDO EN LA POLÍTICA</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incumplimiento de los lineamientos establecidos en esta política será sujeto a sanciones conforme a la normativa interna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la gravedad de la falta:</w:t>
      </w:r>
    </w:p>
    <w:p>
      <w:pPr>
        <w:spacing w:after="120" w:before="0" w:line="276"/>
        <w:jc w:val="left"/>
      </w:pPr>
      <w:r>
        <w:rPr>
          <w:rFonts w:ascii="Calibri" w:cs="Calibri" w:eastAsia="Calibri" w:hAnsi="Calibri"/>
          <w:b/>
          <w:bCs/>
          <w:color w:val="333333"/>
          <w:sz w:val="20"/>
          <w:szCs w:val="20"/>
        </w:rPr>
        <w:t xml:space="preserve">Faltas Leves </w:t>
      </w:r>
      <w:r>
        <w:rPr>
          <w:rFonts w:ascii="Calibri" w:cs="Calibri" w:eastAsia="Calibri" w:hAnsi="Calibri"/>
          <w:b w:val="false"/>
          <w:bCs w:val="false"/>
          <w:color w:val="333333"/>
          <w:sz w:val="20"/>
          <w:szCs w:val="20"/>
        </w:rPr>
        <w:t xml:space="preserve">(Ej. Omisión de lectura de boletines de seguridad): Amonestación verbal y re-capacitación inmediata sobre la importancia de la inteligencia de amenazas.</w:t>
      </w:r>
    </w:p>
    <w:p>
      <w:pPr>
        <w:spacing w:after="120" w:before="0" w:line="276"/>
        <w:jc w:val="left"/>
      </w:pPr>
      <w:r>
        <w:rPr>
          <w:rFonts w:ascii="Calibri" w:cs="Calibri" w:eastAsia="Calibri" w:hAnsi="Calibri"/>
          <w:b/>
          <w:bCs/>
          <w:color w:val="333333"/>
          <w:sz w:val="20"/>
          <w:szCs w:val="20"/>
        </w:rPr>
        <w:t xml:space="preserve">Faltas Graves</w:t>
      </w:r>
      <w:r>
        <w:rPr>
          <w:rFonts w:ascii="Calibri" w:cs="Calibri" w:eastAsia="Calibri" w:hAnsi="Calibri"/>
          <w:b w:val="false"/>
          <w:bCs w:val="false"/>
          <w:color w:val="333333"/>
          <w:sz w:val="20"/>
          <w:szCs w:val="20"/>
        </w:rPr>
        <w:t xml:space="preserve"> (Ej. Permitir la expiración de suscripciones críticas o no reportar una alerta de vulnerabilidad detectada en los boletines): Amonestación por escrito con copia al expediente laboral y posible suspensión de funciones relacionadas con la administración de sistemas.</w:t>
      </w:r>
    </w:p>
    <w:p>
      <w:pPr>
        <w:spacing w:after="120" w:before="0" w:line="276"/>
        <w:jc w:val="left"/>
      </w:pPr>
      <w:r>
        <w:rPr>
          <w:rFonts w:ascii="Calibri" w:cs="Calibri" w:eastAsia="Calibri" w:hAnsi="Calibri"/>
          <w:b/>
          <w:bCs/>
          <w:color w:val="333333"/>
          <w:sz w:val="20"/>
          <w:szCs w:val="20"/>
        </w:rPr>
        <w:t xml:space="preserve">Faltas Críticas</w:t>
      </w:r>
      <w:r>
        <w:rPr>
          <w:rFonts w:ascii="Calibri" w:cs="Calibri" w:eastAsia="Calibri" w:hAnsi="Calibri"/>
          <w:b w:val="false"/>
          <w:bCs w:val="false"/>
          <w:color w:val="333333"/>
          <w:sz w:val="20"/>
          <w:szCs w:val="20"/>
        </w:rPr>
        <w:t xml:space="preserve"> (Ej. Omisión deliberada que resulte en la materialización de un riesgo por no seguir las alertas de los grupos de interés): Terminación de la relación contractual, sin perjuicio de las acciones legales que correspondan por poner en riesgo la confidencialidad de la información de los contribuyentes.</w:t>
      </w:r>
    </w:p>
    <w:p>
      <w:r>
        <w:t xml:space="preserve"> </w:t>
      </w:r>
    </w:p>
    <w:p>
      <w:pPr>
        <w:pStyle w:val="Heading1"/>
        <w:pBdr>
          <w:bottom w:val="single" w:color="D9D9D9" w:sz="4" w:space="8"/>
        </w:pBdr>
        <w:spacing w:after="200" w:before="400" w:line="240"/>
      </w:pPr>
      <w:bookmarkStart w:name="section_10_lineamientos_de_atencion_a_situaciones_fortuitas" w:id="1"/>
      <w:r>
        <w:t xml:space="preserve"/>
      </w:r>
      <w:bookmarkEnd w:id="1"/>
      <w:r>
        <w:rPr>
          <w:rFonts w:ascii="Calibri" w:cs="Calibri" w:eastAsia="Calibri" w:hAnsi="Calibri"/>
          <w:b/>
          <w:bCs/>
          <w:color w:val="000000"/>
          <w:sz w:val="28"/>
          <w:szCs w:val="28"/>
        </w:rPr>
        <w:t xml:space="preserve">11. LINEAMIENTOS DE ATENCIÓN A SITUACIONES FORTUITAS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considerarán situaciones fortuitas relacionadas con cifrado: compromiso, pérdida, exposición o vencimiento no controlado de llaves/certificados; falla de bóvedas de secretos; imposibilidad de validar certificados; uso accidental de canales no cifrados; indisponibilidad de servicios criptográficos; o evidencia de modificación no autorizada de parámetros criptográficos.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persona que detecte la situación deberá reportarla de inmediato al Responsable de Seguridad de la Información y al Responsable de TI, documentando fecha, hora, sistema afectado, alcance preliminar y evidencia disponible.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Responsable de TI deberá contener el evento mediante revocación, rotación, aislamiento, cambio de certificados, deshabilitación temporal de servicios vulnerables o activación de mecanismos alternos aprobados.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Responsable de Seguridad de la Información deberá clasificar el evento, determinar si constituye incidente de seguridad, coordinar la preservación de evidencia y dar seguimiento a las acciones correctivas.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situación fortuita deberá cerrarse con evidencia de remediación, lecciones aprendidas y, cuando proceda, actualización de configuraciones, inventario, matriz de llaves o política.</w:t>
      </w:r>
    </w:p>
    <w:p>
      <w:r>
        <w:t xml:space="preserve"> </w:t>
      </w:r>
    </w:p>
    <w:p>
      <w:pPr>
        <w:pStyle w:val="Heading1"/>
        <w:pBdr>
          <w:bottom w:val="single" w:color="D9D9D9" w:sz="4" w:space="8"/>
        </w:pBdr>
        <w:spacing w:after="200" w:before="400" w:line="240"/>
      </w:pPr>
      <w:bookmarkStart w:name="section_11_periodicidad_de_revision" w:id="1"/>
      <w:r>
        <w:t xml:space="preserve"/>
      </w:r>
      <w:bookmarkEnd w:id="1"/>
      <w:r>
        <w:rPr>
          <w:rFonts w:ascii="Calibri" w:cs="Calibri" w:eastAsia="Calibri" w:hAnsi="Calibri"/>
          <w:b/>
          <w:bCs/>
          <w:color w:val="000000"/>
          <w:sz w:val="28"/>
          <w:szCs w:val="28"/>
        </w:rPr>
        <w:t xml:space="preserve">12.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2_glosario" w:id="1"/>
      <w:r>
        <w:rPr>
          <w:rFonts w:ascii="Calibri" w:cs="Calibri" w:eastAsia="Calibri" w:hAnsi="Calibri"/>
          <w:b/>
          <w:bCs/>
          <w:color w:val="000000"/>
          <w:sz w:val="28"/>
          <w:szCs w:val="28"/>
        </w:rPr>
        <w:t xml:space="preserve">13.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PO-SF-012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controles de cifrado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10/9/2026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PO-SF-012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controles de cifrado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10/9/2026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controles de cifrado</dc:title>
  <dc:subject>Poltica</dc:subject>
  <dc:creator>Administrador MAPLINKS</dc:creator>
  <cp:keywords>PO-SF-012</cp:keywords>
  <dc:description>Documento PO-SF-012</dc:description>
  <cp:lastModifiedBy>Administrador MAPLINKS</cp:lastModifiedBy>
  <cp:revision>1</cp:revision>
  <dcterms:created xsi:type="dcterms:W3CDTF">2026-09-30T21:33:31.206Z</dcterms:created>
  <dcterms:modified xsi:type="dcterms:W3CDTF">2026-09-30T21:33:31.206Z</dcterms:modified>
</cp:coreProperties>
</file>

<file path=docProps/custom.xml><?xml version="1.0" encoding="utf-8"?>
<Properties xmlns="http://schemas.openxmlformats.org/officeDocument/2006/custom-properties" xmlns:vt="http://schemas.openxmlformats.org/officeDocument/2006/docPropsVTypes"/>
</file>