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60"/>
        <w:pBdr>
          <w:bottom w:val="single" w:sz="12" w:space="1" w:color="4472C4"/>
        </w:pBdr>
      </w:pPr>
    </w:p>
    <w:p>
      <w:pPr>
        <w:spacing w:before="120" w:after="60"/>
        <w:pBdr>
          <w:bottom w:val="single" w:sz="4" w:space="1" w:color="BFD5FF"/>
        </w:pBdr>
      </w:pPr>
    </w:p>
    <w:p>
      <w:pPr>
        <w:spacing w:before="240" w:after="120" w:line="259" w:lineRule="auto"/>
      </w:pPr>
      <w:r>
        <w:rPr>
          <w:rFonts w:ascii="Calibri" w:hAnsi="Calibri" w:eastAsia="Calibri"/>
          <w:b/>
          <w:i w:val="0"/>
          <w:color w:val="4472C4"/>
          <w:sz w:val="26"/>
        </w:rPr>
        <w:t>1. DATOS DEL EVENTO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Folio del evento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Fecha y hora de detección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Reportado por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Área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Sistema / servicio afectado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Tipo de situación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9"/>
              </w:rPr>
              <w:t>☐ Compromiso de llave    ☐ Pérdida    ☐ Vencimiento no controlado    ☐ Falla de cifrado    ☐ Otro</w:t>
            </w:r>
          </w:p>
        </w:tc>
      </w:tr>
    </w:tbl>
    <w:p/>
    <w:p>
      <w:pPr>
        <w:spacing w:before="240" w:after="120" w:line="259" w:lineRule="auto"/>
      </w:pPr>
      <w:r>
        <w:rPr>
          <w:rFonts w:ascii="Calibri" w:hAnsi="Calibri" w:eastAsia="Calibri"/>
          <w:b/>
          <w:i w:val="0"/>
          <w:color w:val="4472C4"/>
          <w:sz w:val="26"/>
        </w:rPr>
        <w:t>2. DESCRIPCIÓN Y AFECTACIÓN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Descripción del evento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Información potencialmente afectada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9"/>
              </w:rPr>
              <w:t>☐ Contribuyentes    ☐ Clientes    ☐ Transacciones    ☐ Credenciales    ☐ Otra</w:t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Alcance preliminar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Nivel de criticidad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9"/>
              </w:rPr>
              <w:t>☐ Alto    ☐ Medio    ☐ Bajo</w:t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Evidencia inicial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</w:tbl>
    <w:p/>
    <w:p>
      <w:pPr>
        <w:spacing w:before="240" w:after="120" w:line="259" w:lineRule="auto"/>
      </w:pPr>
      <w:r>
        <w:rPr>
          <w:rFonts w:ascii="Calibri" w:hAnsi="Calibri" w:eastAsia="Calibri"/>
          <w:b/>
          <w:i w:val="0"/>
          <w:color w:val="4472C4"/>
          <w:sz w:val="26"/>
        </w:rPr>
        <w:t>3. RESPUESTA INMEDIATA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88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Acción de contención</w:t>
            </w:r>
          </w:p>
        </w:tc>
        <w:tc>
          <w:tcPr>
            <w:tcW w:type="dxa" w:w="180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Responsable</w:t>
            </w:r>
          </w:p>
        </w:tc>
        <w:tc>
          <w:tcPr>
            <w:tcW w:type="dxa" w:w="144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Fecha/hora</w:t>
            </w:r>
          </w:p>
        </w:tc>
        <w:tc>
          <w:tcPr>
            <w:tcW w:type="dxa" w:w="223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Evidencia</w:t>
            </w:r>
          </w:p>
        </w:tc>
        <w:tc>
          <w:tcPr>
            <w:tcW w:type="dxa" w:w="2015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Resultado</w:t>
            </w:r>
          </w:p>
        </w:tc>
      </w:tr>
      <w:tr>
        <w:tc>
          <w:tcPr>
            <w:tcW w:type="dxa" w:w="288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80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44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223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2015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</w:tr>
      <w:tr>
        <w:tc>
          <w:tcPr>
            <w:tcW w:type="dxa" w:w="288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80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44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223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2015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</w:tr>
      <w:tr>
        <w:tc>
          <w:tcPr>
            <w:tcW w:type="dxa" w:w="288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80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44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223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2015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</w:tr>
    </w:tbl>
    <w:p/>
    <w:p>
      <w:pPr>
        <w:spacing w:before="240" w:after="120" w:line="259" w:lineRule="auto"/>
      </w:pPr>
      <w:r>
        <w:rPr>
          <w:rFonts w:ascii="Calibri" w:hAnsi="Calibri" w:eastAsia="Calibri"/>
          <w:b/>
          <w:i w:val="0"/>
          <w:color w:val="4472C4"/>
          <w:sz w:val="26"/>
        </w:rPr>
        <w:t>4. REMEDIACIÓN Y CIERRE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Llaves/certificados rotados o revocados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Servicios restaurados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Validación posterior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9"/>
              </w:rPr>
              <w:t>☐ Exitosa    ☐ Parcial    ☐ Pendiente</w:t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Lecciones aprendidas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Actualizaciones requeridas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9"/>
              </w:rPr>
              <w:t>☐ Política    ☐ Inventario    ☐ Matriz de llaves    ☐ Procedimiento    ☐ Ninguna</w:t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Fecha de cierre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</w:tbl>
    <w:p/>
    <w:p>
      <w:pPr>
        <w:spacing w:before="160"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3360"/>
            <w:vAlign w:val="center"/>
            <w:tcBorders>
              <w:top w:sz="8" w:val="single" w:color="808080"/>
              <w:left w:sz="0" w:val="nil" w:color="FFFFFF"/>
              <w:bottom w:sz="0" w:val="nil" w:color="FFFFFF"/>
              <w:right w:sz="0" w:val="nil" w:color="FFFFFF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8"/>
              </w:rPr>
              <w:t>Reporta</w:t>
            </w:r>
          </w:p>
        </w:tc>
        <w:tc>
          <w:tcPr>
            <w:tcW w:type="dxa" w:w="3360"/>
            <w:vAlign w:val="center"/>
            <w:tcBorders>
              <w:top w:sz="8" w:val="single" w:color="808080"/>
              <w:left w:sz="0" w:val="nil" w:color="FFFFFF"/>
              <w:bottom w:sz="0" w:val="nil" w:color="FFFFFF"/>
              <w:right w:sz="0" w:val="nil" w:color="FFFFFF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8"/>
              </w:rPr>
              <w:t>Responsable de TI</w:t>
            </w:r>
          </w:p>
        </w:tc>
        <w:tc>
          <w:tcPr>
            <w:tcW w:type="dxa" w:w="3360"/>
            <w:vAlign w:val="center"/>
            <w:tcBorders>
              <w:top w:sz="8" w:val="single" w:color="808080"/>
              <w:left w:sz="0" w:val="nil" w:color="FFFFFF"/>
              <w:bottom w:sz="0" w:val="nil" w:color="FFFFFF"/>
              <w:right w:sz="0" w:val="nil" w:color="FFFFFF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8"/>
              </w:rPr>
              <w:t>Seguridad de la Información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850" w:right="907" w:bottom="749" w:left="907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2082"/>
      <w:gridCol w:w="2082"/>
      <w:gridCol w:w="2082"/>
      <w:gridCol w:w="2082"/>
      <w:gridCol w:w="2082"/>
    </w:tblGrid>
    <w:tr>
      <w:trPr>
        <w:trHeight w:val="259" w:hRule="atLeast"/>
      </w:trPr>
      <w:tc>
        <w:tcPr>
          <w:tcW w:type="dxa" w:w="2088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/>
              <w:i w:val="0"/>
              <w:color w:val="1F1F1F"/>
              <w:sz w:val="20"/>
            </w:rPr>
            <w:t>FO-SF-0095</w:t>
          </w:r>
        </w:p>
      </w:tc>
      <w:tc>
        <w:tcPr>
          <w:tcW w:type="dxa" w:w="6264"/>
          <w:gridSpan w:val="3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/>
              <w:i w:val="0"/>
              <w:color w:val="1F1F1F"/>
              <w:sz w:val="20"/>
            </w:rPr>
            <w:t>Registro de situación fortuita relacionada con controles de cifrado</w:t>
          </w:r>
        </w:p>
      </w:tc>
      <w:tc>
        <w:tcPr>
          <w:tcW w:type="dxa" w:w="2059"/>
          <w:vMerge w:val="restart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/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603504" cy="15087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3504" cy="15087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  <w:tr>
      <w:trPr>
        <w:trHeight w:val="259" w:hRule="atLeast"/>
      </w:trPr>
      <w:tc>
        <w:tcPr>
          <w:tcW w:type="dxa" w:w="2088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 w:val="0"/>
              <w:i w:val="0"/>
              <w:color w:val="1F1F1F"/>
              <w:sz w:val="18"/>
            </w:rPr>
            <w:t>Emisión: 15/05/2026</w:t>
          </w:r>
        </w:p>
      </w:tc>
      <w:tc>
        <w:tcPr>
          <w:tcW w:type="dxa" w:w="2088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 w:val="0"/>
              <w:i w:val="0"/>
              <w:color w:val="1F1F1F"/>
              <w:sz w:val="18"/>
            </w:rPr>
            <w:t>Revisión: 15/05/2026</w:t>
          </w:r>
        </w:p>
      </w:tc>
      <w:tc>
        <w:tcPr>
          <w:tcW w:type="dxa" w:w="2088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 w:val="0"/>
              <w:i w:val="0"/>
              <w:color w:val="1F1F1F"/>
              <w:sz w:val="18"/>
            </w:rPr>
            <w:t>Versión: 1</w:t>
          </w:r>
        </w:p>
      </w:tc>
      <w:tc>
        <w:tcPr>
          <w:tcW w:type="dxa" w:w="2088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 w:val="0"/>
              <w:i w:val="0"/>
              <w:color w:val="1F1F1F"/>
              <w:sz w:val="18"/>
            </w:rPr>
            <w:t>Formato</w:t>
          </w:r>
        </w:p>
      </w:tc>
      <w:tc>
        <w:tcPr>
          <w:tcW w:type="dxa" w:w="2059"/>
          <w:vMerge/>
        </w:tcPr>
        <w:p/>
      </w:tc>
    </w:tr>
    <w:tr>
      <w:trPr>
        <w:trHeight w:val="259" w:hRule="atLeast"/>
      </w:trPr>
      <w:tc>
        <w:tcPr>
          <w:tcW w:type="dxa" w:w="8352"/>
          <w:gridSpan w:val="4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1F1F1F"/>
              <w:sz w:val="18"/>
            </w:rPr>
            <w:t>Área: TECNOLOGÍAS DE LA INFORMACIÓN</w:t>
          </w:r>
        </w:p>
      </w:tc>
      <w:tc>
        <w:tcPr>
          <w:tcW w:type="dxa" w:w="2059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/>
              <w:i w:val="0"/>
              <w:color w:val="1F1F1F"/>
              <w:sz w:val="20"/>
            </w:rPr>
            <w:t>SENDERO FUEL</w:t>
          </w:r>
        </w:p>
      </w:tc>
    </w:tr>
  </w:tbl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F1F1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