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proceso para el uso de herramientas de análisis de vulnerabilidades significa implementar una </w:t>
      </w:r>
      <w:r>
        <w:rPr>
          <w:rFonts w:ascii="Calibri" w:cs="Calibri" w:eastAsia="Calibri" w:hAnsi="Calibri"/>
          <w:b/>
          <w:bCs/>
          <w:color w:val="333333"/>
          <w:sz w:val="20"/>
          <w:szCs w:val="20"/>
        </w:rPr>
        <w:t xml:space="preserve">"Vigilancia Técnica Proactiva"</w:t>
      </w:r>
      <w:r>
        <w:rPr>
          <w:rFonts w:ascii="Calibri" w:cs="Calibri" w:eastAsia="Calibri" w:hAnsi="Calibri"/>
          <w:b w:val="false"/>
          <w:bCs w:val="false"/>
          <w:color w:val="333333"/>
          <w:sz w:val="20"/>
          <w:szCs w:val="20"/>
        </w:rPr>
        <w:t xml:space="preserve">. Representa nuestra capacidad de ver el sistema a través de los ojos de un atacante para identificar debilidades antes de que sean explotadas. Para nosotros, este procedimiento no es solo un escaneo técnico; es la garantía de que el monedero electrónico evoluciona en un entorno de seguridad continua, asegurando que la infraestructura que soporta la información de los contribuyentes sea resiliente frente a las amenazas cibernéticas modernas.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punto exige documentar la autorización, restricción y supervisión de las herramientas diseñadas para detectar fallos de seguridad. El cumplimiento de este numeral asegura que estas herramientas no sean utilizadas para realizar actividades de espionaje interno o ataques no autorizados, y que los hallazgos encontrados sean gestionados bajo protocolos de confidencialidad estricta.</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Este proceso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Herramientas de análisis de vulnerabilidades;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Escáneres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Herramientas de monitoreo con privilegios elevados;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Utilerías administrativas avanzadas;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Herramientas de soporte o diagnóstico con capacidad de modificar controles;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Consolas, scripts, agentes, plataformas o software que puedan omitir controles de seguridad para cumplir su objetivo técnico;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interno;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Terceros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Ambientes de desarrollo, pruebas, producción, contingencia y soporte, cuando estén relacionados con la operación del monedero electrónico.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FO-SF-054 — FO-SF-0054_Solicitud_autorizacion_herramienta_omite_controles_SENDERO_FUEL.docx</w:t>
      </w:r>
    </w:p>
    <w:p>
      <w:pPr>
        <w:spacing w:after="60" w:before="60" w:line="276"/>
      </w:pPr>
      <w:r>
        <w:rPr>
          <w:rFonts w:ascii="Calibri" w:cs="Calibri" w:eastAsia="Calibri" w:hAnsi="Calibri"/>
          <w:b w:val="false"/>
          <w:bCs w:val="false"/>
          <w:color w:val="333333"/>
          <w:sz w:val="20"/>
          <w:szCs w:val="20"/>
        </w:rPr>
        <w:t xml:space="preserve">• FO-SF-055 — FO-SF-0055_Registro_maestro_independiente_herramientas_omite_controles_SENDERO_FUEL.docx</w:t>
      </w:r>
    </w:p>
    <w:p>
      <w:pPr>
        <w:spacing w:after="60" w:before="60" w:line="276"/>
      </w:pPr>
      <w:r>
        <w:rPr>
          <w:rFonts w:ascii="Calibri" w:cs="Calibri" w:eastAsia="Calibri" w:hAnsi="Calibri"/>
          <w:b w:val="false"/>
          <w:bCs w:val="false"/>
          <w:color w:val="333333"/>
          <w:sz w:val="20"/>
          <w:szCs w:val="20"/>
        </w:rPr>
        <w:t xml:space="preserve">• FO-SF-056 — FO-SF-0056_Bitacora_uso_cierre_herramienta_omite_controles_SENDERO_FUEL.docx</w:t>
      </w:r>
    </w:p>
    <w:p>
      <w:pPr>
        <w:spacing w:after="60" w:before="60" w:line="276"/>
      </w:pPr>
      <w:r>
        <w:rPr>
          <w:rFonts w:ascii="Calibri" w:cs="Calibri" w:eastAsia="Calibri" w:hAnsi="Calibri"/>
          <w:b w:val="false"/>
          <w:bCs w:val="false"/>
          <w:color w:val="333333"/>
          <w:sz w:val="20"/>
          <w:szCs w:val="20"/>
        </w:rPr>
        <w:t xml:space="preserve">• req_29_PR_SF_014.pdf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·Evaluar el riesgo asociado al uso de la herramienta;</w:t>
            </w:r>
          </w:p>
          <w:p>
            <w:pPr>
              <w:jc w:val="left"/>
            </w:pPr>
            <w:r>
              <w:rPr>
                <w:rFonts w:ascii="Calibri" w:cs="Calibri" w:eastAsia="Calibri" w:hAnsi="Calibri"/>
                <w:b w:val="false"/>
                <w:bCs w:val="false"/>
                <w:color w:val="333333"/>
                <w:sz w:val="18"/>
                <w:szCs w:val="18"/>
              </w:rPr>
              <w:t xml:space="preserve">·Validar los controles compensatorios;</w:t>
            </w:r>
          </w:p>
          <w:p>
            <w:pPr>
              <w:jc w:val="left"/>
            </w:pPr>
            <w:r>
              <w:rPr>
                <w:rFonts w:ascii="Calibri" w:cs="Calibri" w:eastAsia="Calibri" w:hAnsi="Calibri"/>
                <w:b w:val="false"/>
                <w:bCs w:val="false"/>
                <w:color w:val="333333"/>
                <w:sz w:val="18"/>
                <w:szCs w:val="18"/>
              </w:rPr>
              <w:t xml:space="preserve">·Emitir opinión de autorización o rechazo;</w:t>
            </w:r>
          </w:p>
          <w:p>
            <w:pPr>
              <w:jc w:val="left"/>
            </w:pPr>
            <w:r>
              <w:rPr>
                <w:rFonts w:ascii="Calibri" w:cs="Calibri" w:eastAsia="Calibri" w:hAnsi="Calibri"/>
                <w:b w:val="false"/>
                <w:bCs w:val="false"/>
                <w:color w:val="333333"/>
                <w:sz w:val="18"/>
                <w:szCs w:val="18"/>
              </w:rPr>
              <w:t xml:space="preserve">·Supervisar el cumplimiento del procedimiento;</w:t>
            </w:r>
          </w:p>
          <w:p>
            <w:pPr>
              <w:jc w:val="left"/>
            </w:pPr>
            <w:r>
              <w:rPr>
                <w:rFonts w:ascii="Calibri" w:cs="Calibri" w:eastAsia="Calibri" w:hAnsi="Calibri"/>
                <w:b w:val="false"/>
                <w:bCs w:val="false"/>
                <w:color w:val="333333"/>
                <w:sz w:val="18"/>
                <w:szCs w:val="18"/>
              </w:rPr>
              <w:t xml:space="preserve">·Verificar que exista registro independiente actualizado.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TI/Infraestructura/Administradores de sistemas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la viabilidad técnica del uso solicitado;</w:t>
            </w:r>
          </w:p>
          <w:p>
            <w:pPr>
              <w:jc w:val="left"/>
            </w:pPr>
            <w:r>
              <w:rPr>
                <w:rFonts w:ascii="Calibri" w:cs="Calibri" w:eastAsia="Calibri" w:hAnsi="Calibri"/>
                <w:b w:val="false"/>
                <w:bCs w:val="false"/>
                <w:color w:val="333333"/>
                <w:sz w:val="18"/>
                <w:szCs w:val="18"/>
              </w:rPr>
              <w:t xml:space="preserve">·Delimitar el alcance técnico;</w:t>
            </w:r>
          </w:p>
          <w:p>
            <w:pPr>
              <w:jc w:val="left"/>
            </w:pPr>
            <w:r>
              <w:rPr>
                <w:rFonts w:ascii="Calibri" w:cs="Calibri" w:eastAsia="Calibri" w:hAnsi="Calibri"/>
                <w:b w:val="false"/>
                <w:bCs w:val="false"/>
                <w:color w:val="333333"/>
                <w:sz w:val="18"/>
                <w:szCs w:val="18"/>
              </w:rPr>
              <w:t xml:space="preserve">·Ejecutar o supervisar la instalación, habilitación, uso y retiro de la herramienta;</w:t>
            </w:r>
          </w:p>
          <w:p>
            <w:pPr>
              <w:jc w:val="left"/>
            </w:pPr>
            <w:r>
              <w:rPr>
                <w:rFonts w:ascii="Calibri" w:cs="Calibri" w:eastAsia="Calibri" w:hAnsi="Calibri"/>
                <w:b w:val="false"/>
                <w:bCs w:val="false"/>
                <w:color w:val="333333"/>
                <w:sz w:val="18"/>
                <w:szCs w:val="18"/>
              </w:rPr>
              <w:t xml:space="preserve">·Conservar evidencia técnica de uso;</w:t>
            </w:r>
          </w:p>
          <w:p>
            <w:pPr>
              <w:jc w:val="left"/>
            </w:pPr>
            <w:r>
              <w:rPr>
                <w:rFonts w:ascii="Calibri" w:cs="Calibri" w:eastAsia="Calibri" w:hAnsi="Calibri"/>
                <w:b w:val="false"/>
                <w:bCs w:val="false"/>
                <w:color w:val="333333"/>
                <w:sz w:val="18"/>
                <w:szCs w:val="18"/>
              </w:rPr>
              <w:t xml:space="preserve">·Asegurar que la herramienta opere solo dentro del alcance autorizado.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del sistema, servicio o activo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·Justificar la necesidad operativa o técnica;</w:t>
            </w:r>
          </w:p>
          <w:p>
            <w:pPr>
              <w:jc w:val="left"/>
            </w:pPr>
            <w:r>
              <w:rPr>
                <w:rFonts w:ascii="Calibri" w:cs="Calibri" w:eastAsia="Calibri" w:hAnsi="Calibri"/>
                <w:b w:val="false"/>
                <w:bCs w:val="false"/>
                <w:color w:val="333333"/>
                <w:sz w:val="18"/>
                <w:szCs w:val="18"/>
              </w:rPr>
              <w:t xml:space="preserve">·Aprobar el impacto sobre el sistema bajo su responsabilidad;</w:t>
            </w:r>
          </w:p>
          <w:p>
            <w:pPr>
              <w:jc w:val="left"/>
            </w:pPr>
            <w:r>
              <w:rPr>
                <w:rFonts w:ascii="Calibri" w:cs="Calibri" w:eastAsia="Calibri" w:hAnsi="Calibri"/>
                <w:b w:val="false"/>
                <w:bCs w:val="false"/>
                <w:color w:val="333333"/>
                <w:sz w:val="18"/>
                <w:szCs w:val="18"/>
              </w:rPr>
              <w:t xml:space="preserve">·Validar la ventana de ejecución y los activos involucrados.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Desarrollo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·Participar en la evaluación cuando la herramienta impacte código, ambientes de desarrollo, pruebas o despliegues;</w:t>
            </w:r>
          </w:p>
          <w:p>
            <w:pPr>
              <w:jc w:val="left"/>
            </w:pPr>
            <w:r>
              <w:rPr>
                <w:rFonts w:ascii="Calibri" w:cs="Calibri" w:eastAsia="Calibri" w:hAnsi="Calibri"/>
                <w:b w:val="false"/>
                <w:bCs w:val="false"/>
                <w:color w:val="333333"/>
                <w:sz w:val="18"/>
                <w:szCs w:val="18"/>
              </w:rPr>
              <w:t xml:space="preserve">·Asegurar congruencia con el proceso de cambios y liberaciones.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 o tercero autorizado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·Cumplir las condiciones de uso autorizadas;</w:t>
            </w:r>
          </w:p>
          <w:p>
            <w:pPr>
              <w:jc w:val="left"/>
            </w:pPr>
            <w:r>
              <w:rPr>
                <w:rFonts w:ascii="Calibri" w:cs="Calibri" w:eastAsia="Calibri" w:hAnsi="Calibri"/>
                <w:b w:val="false"/>
                <w:bCs w:val="false"/>
                <w:color w:val="333333"/>
                <w:sz w:val="18"/>
                <w:szCs w:val="18"/>
              </w:rPr>
              <w:t xml:space="preserve">·No exceder el alcance ni la vigencia aprobada;</w:t>
            </w:r>
          </w:p>
          <w:p>
            <w:pPr>
              <w:jc w:val="left"/>
            </w:pPr>
            <w:r>
              <w:rPr>
                <w:rFonts w:ascii="Calibri" w:cs="Calibri" w:eastAsia="Calibri" w:hAnsi="Calibri"/>
                <w:b w:val="false"/>
                <w:bCs w:val="false"/>
                <w:color w:val="333333"/>
                <w:sz w:val="18"/>
                <w:szCs w:val="18"/>
              </w:rPr>
              <w:t xml:space="preserve">·Entregar evidencia técnica y operativa de su intervención;</w:t>
            </w:r>
          </w:p>
          <w:p>
            <w:pPr>
              <w:jc w:val="left"/>
            </w:pPr>
            <w:r>
              <w:rPr>
                <w:rFonts w:ascii="Calibri" w:cs="Calibri" w:eastAsia="Calibri" w:hAnsi="Calibri"/>
                <w:b w:val="false"/>
                <w:bCs w:val="false"/>
                <w:color w:val="333333"/>
                <w:sz w:val="18"/>
                <w:szCs w:val="18"/>
              </w:rPr>
              <w:t xml:space="preserve">·Sujetarse a acuerdos de confidencialidad, auditoría y seguridad aplicables.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_generales" w:id="1"/>
      <w:r>
        <w:t xml:space="preserve"/>
      </w:r>
      <w:bookmarkEnd w:id="1"/>
      <w:r>
        <w:rPr>
          <w:rFonts w:ascii="Calibri" w:cs="Calibri" w:eastAsia="Calibri" w:hAnsi="Calibri"/>
          <w:b/>
          <w:bCs/>
          <w:color w:val="000000"/>
          <w:sz w:val="28"/>
          <w:szCs w:val="28"/>
        </w:rPr>
        <w:t xml:space="preserve">7. LINEAMIENTOS GENERALES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Ninguna herramienta comprendida en este procedimiento podrá utilizarse sin autorización formal previa.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uso de este tipo de herramientas será excepcional, controlado y limitado a necesidades justificadas.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herramienta deberá estar identificada, evaluada y registrada antes de su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autorización deberá emitirse por tiempo definido, alcance delimitado y responsable identificado.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ejecución deberá dejar evidencia administrativa y técnica suficiente.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Siempre que sea posible, la habilitación de la herramienta o sus privilegios será temporal.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el riesgo lo amerite, deberán implementarse controles compensatorios.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herramienta autorizada deberá quedar incorporada al registro permanente e independiente.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uso de herramientas no registradas, no autorizadas o fuera del alcance aprobado se considerará incumplimiento grave.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herramientas con capacidad de acceso privilegiado, evasión de monitoreo o afectación a servicios productivos deberán contar con validación reforzada.</w:t>
      </w:r>
    </w:p>
    <w:p>
      <w:r>
        <w:t xml:space="preserve"> </w:t>
      </w:r>
    </w:p>
    <w:p>
      <w:pPr>
        <w:pStyle w:val="Heading1"/>
        <w:pBdr>
          <w:bottom w:val="single" w:color="D9D9D9" w:sz="4" w:space="8"/>
        </w:pBdr>
        <w:spacing w:after="200" w:before="400" w:line="240"/>
      </w:pPr>
      <w:bookmarkStart w:name="section_7_condiciones_de_autorizacion" w:id="1"/>
      <w:r>
        <w:t xml:space="preserve"/>
      </w:r>
      <w:bookmarkEnd w:id="1"/>
      <w:r>
        <w:rPr>
          <w:rFonts w:ascii="Calibri" w:cs="Calibri" w:eastAsia="Calibri" w:hAnsi="Calibri"/>
          <w:b/>
          <w:bCs/>
          <w:color w:val="000000"/>
          <w:sz w:val="28"/>
          <w:szCs w:val="28"/>
        </w:rPr>
        <w:t xml:space="preserve">8. CONDICIONES DE AUTORIZACIÓN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Para autorizar una herramienta sujeta a este procedimiento deberá existir,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Justificación documentada de negocio, técnica, operativa o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Identificación completa de la herramienta;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Definición del objetivo específico;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Evaluación de riesgo;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Definición de alcance y activos impactados;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Delimitación de usuario(s)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Vigencia de la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Definición de controles compensatorios, si aplican;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Aprobación formal de las áreas responsables;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Incorporación al registro permanente e independiente.</w:t>
      </w:r>
    </w:p>
    <w:p>
      <w:r>
        <w:t xml:space="preserve"> </w:t>
      </w:r>
    </w:p>
    <w:p>
      <w:pPr>
        <w:pStyle w:val="Heading1"/>
        <w:pBdr>
          <w:bottom w:val="single" w:color="D9D9D9" w:sz="4" w:space="8"/>
        </w:pBdr>
        <w:spacing w:after="200" w:before="400" w:line="240"/>
      </w:pPr>
      <w:bookmarkStart w:name="section_8_procedimiento" w:id="1"/>
      <w:r>
        <w:t xml:space="preserve"/>
      </w:r>
      <w:bookmarkEnd w:id="1"/>
      <w:r>
        <w:rPr>
          <w:rFonts w:ascii="Calibri" w:cs="Calibri" w:eastAsia="Calibri" w:hAnsi="Calibri"/>
          <w:b/>
          <w:bCs/>
          <w:color w:val="000000"/>
          <w:sz w:val="28"/>
          <w:szCs w:val="28"/>
        </w:rPr>
        <w:t xml:space="preserve">9.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Solicitud de autorización</w:t>
      </w:r>
    </w:p>
    <w:p>
      <w:pPr>
        <w:spacing w:after="120" w:before="0" w:line="276"/>
        <w:jc w:val="both"/>
      </w:pPr>
      <w:r>
        <w:rPr>
          <w:rFonts w:ascii="Calibri" w:cs="Calibri" w:eastAsia="Calibri" w:hAnsi="Calibri"/>
          <w:b w:val="false"/>
          <w:bCs w:val="false"/>
          <w:color w:val="333333"/>
          <w:sz w:val="20"/>
          <w:szCs w:val="20"/>
        </w:rPr>
        <w:t xml:space="preserve">El proceso inicia cuando un área interna, administrador, responsable técnico o proveedor solicita el uso de una herramienta comprendida en este procedimiento.</w:t>
      </w:r>
    </w:p>
    <w:p>
      <w:pPr>
        <w:spacing w:after="120" w:before="0" w:line="276"/>
        <w:jc w:val="left"/>
      </w:pPr>
      <w:r>
        <w:rPr>
          <w:rFonts w:ascii="Calibri" w:cs="Calibri" w:eastAsia="Calibri" w:hAnsi="Calibri"/>
          <w:b w:val="false"/>
          <w:bCs w:val="false"/>
          <w:color w:val="333333"/>
          <w:sz w:val="20"/>
          <w:szCs w:val="20"/>
        </w:rPr>
        <w:t xml:space="preserve">La solicitud deberá contener,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 la herramienta;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Fabricante o desarrollador;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Versión;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herramienta;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Objetivo de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Justificación;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Sistema, red, servicio o activo objetivo;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Ambiente donde se utilizará;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Usuario o responsable técnico;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y tiempo estimado de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Riesgos conocidos;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Controles de seguridad que podrían verse omitidos o afectados;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será usada por personal interno o por tercero.</w:t>
      </w:r>
    </w:p>
    <w:p>
      <w:pPr>
        <w:pStyle w:val="Heading2"/>
        <w:spacing w:after="200" w:before="400" w:line="240"/>
        <w:jc w:val="left"/>
      </w:pPr>
      <w:r>
        <w:rPr>
          <w:rFonts w:ascii="Calibri" w:cs="Calibri" w:eastAsia="Calibri" w:hAnsi="Calibri"/>
          <w:b/>
          <w:bCs/>
          <w:color w:val="000000"/>
          <w:sz w:val="20"/>
          <w:szCs w:val="20"/>
        </w:rPr>
        <w:t xml:space="preserve">Revisión inicial de clasificación</w:t>
      </w:r>
    </w:p>
    <w:p>
      <w:pPr>
        <w:spacing w:after="120" w:before="0" w:line="276"/>
        <w:jc w:val="left"/>
      </w:pPr>
      <w:r>
        <w:rPr>
          <w:rFonts w:ascii="Calibri" w:cs="Calibri" w:eastAsia="Calibri" w:hAnsi="Calibri"/>
          <w:b w:val="false"/>
          <w:bCs w:val="false"/>
          <w:color w:val="333333"/>
          <w:sz w:val="20"/>
          <w:szCs w:val="20"/>
        </w:rPr>
        <w:t xml:space="preserve">Seguridad de la Información y TI deberán revisar si efectivamente la herramienta: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puede omitir controles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opera con privilegios elevados;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altera configuraciones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permite monitoreo o acceso profundo al sistema;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ejecuta acciones no disponibles para usuarios ordinarios;</w:t>
      </w:r>
    </w:p>
    <w:p>
      <w:pPr>
        <w:spacing w:after="120" w:before="0" w:line="276"/>
        <w:jc w:val="left"/>
      </w:pPr>
      <w:r>
        <w:rPr>
          <w:rFonts w:ascii="Calibri" w:cs="Calibri" w:eastAsia="Calibri" w:hAnsi="Calibri"/>
          <w:b w:val="false"/>
          <w:bCs w:val="false"/>
          <w:color w:val="333333"/>
          <w:sz w:val="20"/>
          <w:szCs w:val="20"/>
        </w:rPr>
        <w:t xml:space="preserve">Si la herramienta no entra en este supuesto, se gestionará por el proceso ordinario que corresponda</w:t>
      </w:r>
    </w:p>
    <w:p>
      <w:pPr>
        <w:pStyle w:val="Heading2"/>
        <w:spacing w:after="200" w:before="400" w:line="240"/>
        <w:jc w:val="left"/>
      </w:pPr>
      <w:r>
        <w:rPr>
          <w:rFonts w:ascii="Calibri" w:cs="Calibri" w:eastAsia="Calibri" w:hAnsi="Calibri"/>
          <w:b/>
          <w:bCs/>
          <w:color w:val="000000"/>
          <w:sz w:val="20"/>
          <w:szCs w:val="20"/>
        </w:rPr>
        <w:t xml:space="preserve">Evaluación de riesgos</w:t>
      </w:r>
    </w:p>
    <w:p>
      <w:pPr>
        <w:spacing w:after="120" w:before="0" w:line="276"/>
        <w:jc w:val="left"/>
      </w:pPr>
      <w:r>
        <w:rPr>
          <w:rFonts w:ascii="Calibri" w:cs="Calibri" w:eastAsia="Calibri" w:hAnsi="Calibri"/>
          <w:b w:val="false"/>
          <w:bCs w:val="false"/>
          <w:color w:val="333333"/>
          <w:sz w:val="20"/>
          <w:szCs w:val="20"/>
        </w:rPr>
        <w:t xml:space="preserve">Cuando la herramienta sí se ubique dentro del alcance de este procedimiento, se deberá realizar una evaluación de riesgo que contemple,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Impacto sobre confidencialidad, integridad y disponibilidad;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Posibilidad de uso indebido o abuso;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Exposición de información sensible;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Afectación a registros de auditoría;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Interferencia con monitoreo o controles preventivos;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Impacto en disponibilidad del servicio;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 de ejecución por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 de persistencia de privilegios o configuraciones residuales.</w:t>
      </w:r>
    </w:p>
    <w:p>
      <w:pPr>
        <w:spacing w:after="120" w:before="0" w:line="276"/>
        <w:jc w:val="left"/>
      </w:pPr>
      <w:r>
        <w:rPr>
          <w:rFonts w:ascii="Calibri" w:cs="Calibri" w:eastAsia="Calibri" w:hAnsi="Calibri"/>
          <w:b w:val="false"/>
          <w:bCs w:val="false"/>
          <w:color w:val="333333"/>
          <w:sz w:val="20"/>
          <w:szCs w:val="20"/>
        </w:rPr>
        <w:t xml:space="preserve">La evaluación podrá concluir en: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sin condicionantes;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con controles compensatorios;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Rechazo;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Diferimiento hasta implementar controles previos.</w:t>
      </w:r>
    </w:p>
    <w:p>
      <w:pPr>
        <w:pStyle w:val="Heading2"/>
        <w:spacing w:after="200" w:before="400" w:line="240"/>
        <w:jc w:val="left"/>
      </w:pPr>
      <w:r>
        <w:rPr>
          <w:rFonts w:ascii="Calibri" w:cs="Calibri" w:eastAsia="Calibri" w:hAnsi="Calibri"/>
          <w:b/>
          <w:bCs/>
          <w:color w:val="000000"/>
          <w:sz w:val="20"/>
          <w:szCs w:val="20"/>
        </w:rPr>
        <w:t xml:space="preserve">Validación técnica</w:t>
      </w:r>
    </w:p>
    <w:p>
      <w:pPr>
        <w:spacing w:after="120" w:before="0" w:line="276"/>
        <w:jc w:val="left"/>
      </w:pPr>
      <w:r>
        <w:rPr>
          <w:rFonts w:ascii="Calibri" w:cs="Calibri" w:eastAsia="Calibri" w:hAnsi="Calibri"/>
          <w:b w:val="false"/>
          <w:bCs w:val="false"/>
          <w:color w:val="333333"/>
          <w:sz w:val="20"/>
          <w:szCs w:val="20"/>
        </w:rPr>
        <w:t xml:space="preserve">TI o el área técnica responsable deberá validar: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Compatibilidad con el activo o sistema objetivo;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real de privilegios elevados;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Posibilidad de limitar alcance;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Posibilidad de uso en ventana controlada;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Factibilidad de trazabilidad de actividades;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Condiciones de instalación, configuración y retiro.</w:t>
      </w:r>
    </w:p>
    <w:p>
      <w:pPr>
        <w:pStyle w:val="Heading2"/>
        <w:spacing w:after="200" w:before="400" w:line="240"/>
        <w:jc w:val="left"/>
      </w:pPr>
      <w:r>
        <w:rPr>
          <w:rFonts w:ascii="Calibri" w:cs="Calibri" w:eastAsia="Calibri" w:hAnsi="Calibri"/>
          <w:b/>
          <w:bCs/>
          <w:color w:val="000000"/>
          <w:sz w:val="20"/>
          <w:szCs w:val="20"/>
        </w:rPr>
        <w:t xml:space="preserve">Aprobación formal</w:t>
      </w:r>
    </w:p>
    <w:p>
      <w:pPr>
        <w:spacing w:after="120" w:before="0" w:line="276"/>
        <w:jc w:val="left"/>
      </w:pPr>
      <w:r>
        <w:rPr>
          <w:rFonts w:ascii="Calibri" w:cs="Calibri" w:eastAsia="Calibri" w:hAnsi="Calibri"/>
          <w:b w:val="false"/>
          <w:bCs w:val="false"/>
          <w:color w:val="333333"/>
          <w:sz w:val="20"/>
          <w:szCs w:val="20"/>
        </w:rPr>
        <w:t xml:space="preserve">La autorización deberá ser aprobada, como mínimo, por: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del sistema o servicio afectado;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 o área técnica responsable;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la Información.</w:t>
      </w:r>
    </w:p>
    <w:p>
      <w:pPr>
        <w:spacing w:after="120" w:before="0" w:line="276"/>
        <w:jc w:val="left"/>
      </w:pPr>
      <w:r>
        <w:rPr>
          <w:rFonts w:ascii="Calibri" w:cs="Calibri" w:eastAsia="Calibri" w:hAnsi="Calibri"/>
          <w:b w:val="false"/>
          <w:bCs w:val="false"/>
          <w:color w:val="333333"/>
          <w:sz w:val="20"/>
          <w:szCs w:val="20"/>
        </w:rPr>
        <w:t xml:space="preserve">Cuando la criticidad del activo, el impacto potencial o el tipo de privilegio lo amerite, deberá aprobar también la Dirección o el responsable jerárquico superior que la organización designe.</w:t>
      </w:r>
    </w:p>
    <w:p>
      <w:pPr>
        <w:pStyle w:val="Heading2"/>
        <w:spacing w:after="200" w:before="400" w:line="240"/>
        <w:jc w:val="left"/>
      </w:pPr>
      <w:r>
        <w:rPr>
          <w:rFonts w:ascii="Calibri" w:cs="Calibri" w:eastAsia="Calibri" w:hAnsi="Calibri"/>
          <w:b/>
          <w:bCs/>
          <w:color w:val="000000"/>
          <w:sz w:val="20"/>
          <w:szCs w:val="20"/>
        </w:rPr>
        <w:t xml:space="preserve">Registro previo a la ejecución</w:t>
      </w:r>
    </w:p>
    <w:p>
      <w:pPr>
        <w:spacing w:after="120" w:before="0" w:line="276"/>
        <w:jc w:val="left"/>
      </w:pPr>
      <w:r>
        <w:rPr>
          <w:rFonts w:ascii="Calibri" w:cs="Calibri" w:eastAsia="Calibri" w:hAnsi="Calibri"/>
          <w:b w:val="false"/>
          <w:bCs w:val="false"/>
          <w:color w:val="333333"/>
          <w:sz w:val="20"/>
          <w:szCs w:val="20"/>
        </w:rPr>
        <w:t xml:space="preserve">Antes de su uso, la herramienta deberá quedar asentada en el </w:t>
      </w:r>
      <w:r>
        <w:rPr>
          <w:rFonts w:ascii="Calibri" w:cs="Calibri" w:eastAsia="Calibri" w:hAnsi="Calibri"/>
          <w:b/>
          <w:bCs/>
          <w:color w:val="333333"/>
          <w:sz w:val="20"/>
          <w:szCs w:val="20"/>
        </w:rPr>
        <w:t xml:space="preserve">registro permanente e independiente</w:t>
      </w:r>
      <w:r>
        <w:rPr>
          <w:rFonts w:ascii="Calibri" w:cs="Calibri" w:eastAsia="Calibri" w:hAnsi="Calibri"/>
          <w:b w:val="false"/>
          <w:bCs w:val="false"/>
          <w:color w:val="333333"/>
          <w:sz w:val="20"/>
          <w:szCs w:val="20"/>
        </w:rPr>
        <w:t xml:space="preserve">, con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Ientificador o folio;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 la herramienta;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Versión;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Objetivo;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 solicitante;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vigencia;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privilegio o control que podría omitir;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 asociada</w:t>
      </w:r>
    </w:p>
    <w:p>
      <w:pPr>
        <w:pStyle w:val="Heading2"/>
        <w:spacing w:after="200" w:before="400" w:line="240"/>
        <w:jc w:val="left"/>
      </w:pPr>
      <w:r>
        <w:rPr>
          <w:rFonts w:ascii="Calibri" w:cs="Calibri" w:eastAsia="Calibri" w:hAnsi="Calibri"/>
          <w:b/>
          <w:bCs/>
          <w:color w:val="000000"/>
          <w:sz w:val="20"/>
          <w:szCs w:val="20"/>
        </w:rPr>
        <w:t xml:space="preserve">Preparación para la ejecución</w:t>
      </w:r>
    </w:p>
    <w:p>
      <w:pPr>
        <w:spacing w:after="120" w:before="0" w:line="276"/>
        <w:jc w:val="left"/>
      </w:pPr>
      <w:r>
        <w:rPr>
          <w:rFonts w:ascii="Calibri" w:cs="Calibri" w:eastAsia="Calibri" w:hAnsi="Calibri"/>
          <w:b w:val="false"/>
          <w:bCs w:val="false"/>
          <w:color w:val="333333"/>
          <w:sz w:val="20"/>
          <w:szCs w:val="20"/>
        </w:rPr>
        <w:t xml:space="preserve">Previo al uso de la herramienta, el responsable técnico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Confirmar que la autorización esté vigente;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Verificar que la herramienta corresponde a la versión aprobada;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Validar el ambiente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Verificar respaldos,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Implementar controles compensatorios definidos;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Confirmar que el monitoreo y registros estén habilitados, salvo que el objetivo técnico exija una excepción expresamente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Notificar a las áreas involucradas si existe riesgo operativo.</w:t>
      </w:r>
    </w:p>
    <w:p>
      <w:pPr>
        <w:pStyle w:val="Heading2"/>
        <w:spacing w:after="200" w:before="400" w:line="240"/>
        <w:jc w:val="left"/>
      </w:pPr>
      <w:r>
        <w:rPr>
          <w:rFonts w:ascii="Calibri" w:cs="Calibri" w:eastAsia="Calibri" w:hAnsi="Calibri"/>
          <w:b/>
          <w:bCs/>
          <w:color w:val="000000"/>
          <w:sz w:val="20"/>
          <w:szCs w:val="20"/>
        </w:rPr>
        <w:t xml:space="preserve">Ejecución controlada</w:t>
      </w:r>
    </w:p>
    <w:p>
      <w:pPr>
        <w:spacing w:after="120" w:before="0" w:line="276"/>
        <w:jc w:val="left"/>
      </w:pPr>
      <w:r>
        <w:rPr>
          <w:rFonts w:ascii="Calibri" w:cs="Calibri" w:eastAsia="Calibri" w:hAnsi="Calibri"/>
          <w:b w:val="false"/>
          <w:bCs w:val="false"/>
          <w:color w:val="333333"/>
          <w:sz w:val="20"/>
          <w:szCs w:val="20"/>
        </w:rPr>
        <w:t xml:space="preserve">Durante la ejecución de la herramienta deberán observarse las siguientes reglas: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Operar solo sobre los activos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Respetar la ventana de tiempo aprobada;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Utilizar únicamente las cuentas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Evitar modificaciones no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Mantener evidencia de acciones realizadas;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Escalar inmediatamente cualquier incidencia, hallazgo crítico o afectación al servicio;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Suspender la ejecución si se detecta desviación relevante respecto del alcance aprobado.</w:t>
      </w:r>
    </w:p>
    <w:p>
      <w:pPr>
        <w:pStyle w:val="Heading2"/>
        <w:spacing w:after="200" w:before="400" w:line="240"/>
        <w:jc w:val="left"/>
      </w:pPr>
      <w:r>
        <w:rPr>
          <w:rFonts w:ascii="Calibri" w:cs="Calibri" w:eastAsia="Calibri" w:hAnsi="Calibri"/>
          <w:b/>
          <w:bCs/>
          <w:color w:val="000000"/>
          <w:sz w:val="20"/>
          <w:szCs w:val="20"/>
        </w:rPr>
        <w:t xml:space="preserve">Evidencia de ejecución</w:t>
      </w:r>
    </w:p>
    <w:p>
      <w:pPr>
        <w:spacing w:after="120" w:before="0" w:line="276"/>
        <w:jc w:val="left"/>
      </w:pPr>
      <w:r>
        <w:rPr>
          <w:rFonts w:ascii="Calibri" w:cs="Calibri" w:eastAsia="Calibri" w:hAnsi="Calibri"/>
          <w:b w:val="false"/>
          <w:bCs w:val="false"/>
          <w:color w:val="333333"/>
          <w:sz w:val="20"/>
          <w:szCs w:val="20"/>
        </w:rPr>
        <w:t xml:space="preserve">Toda ejecución deberá generar evidencia suficiente, por ejemplo: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Ticket de servicio o cambio;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 del administrador;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de consola;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Log de ejecución;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Captura de resultados;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Constancia técnica;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Correo o acta de cierre;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Relación de hallazgos y acciones tomadas.</w:t>
      </w:r>
    </w:p>
    <w:p>
      <w:pPr>
        <w:pStyle w:val="Heading2"/>
        <w:spacing w:after="200" w:before="400" w:line="240"/>
        <w:jc w:val="left"/>
      </w:pPr>
      <w:r>
        <w:rPr>
          <w:rFonts w:ascii="Calibri" w:cs="Calibri" w:eastAsia="Calibri" w:hAnsi="Calibri"/>
          <w:b/>
          <w:bCs/>
          <w:color w:val="000000"/>
          <w:sz w:val="20"/>
          <w:szCs w:val="20"/>
        </w:rPr>
        <w:t xml:space="preserve">Cierre del uso autorizado</w:t>
      </w:r>
    </w:p>
    <w:p>
      <w:pPr>
        <w:spacing w:after="120" w:before="0" w:line="276"/>
        <w:jc w:val="left"/>
      </w:pPr>
      <w:r>
        <w:rPr>
          <w:rFonts w:ascii="Calibri" w:cs="Calibri" w:eastAsia="Calibri" w:hAnsi="Calibri"/>
          <w:b w:val="false"/>
          <w:bCs w:val="false"/>
          <w:color w:val="333333"/>
          <w:sz w:val="20"/>
          <w:szCs w:val="20"/>
        </w:rPr>
        <w:t xml:space="preserve">Concluido el uso de la herramienta, el responsable técnico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Retirar accesos temporales o privilegios excepcionales;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Desinstalar o deshabilitar la herramienta, cuando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Verificar que no queden configuraciones residuales;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Documentar resultados;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Notificar cierre al solicitante y a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Actualizar el registro independiente con estatus final;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Adjuntar evidencia de cierre.</w:t>
      </w:r>
    </w:p>
    <w:p>
      <w:pPr>
        <w:pStyle w:val="Heading2"/>
        <w:spacing w:after="200" w:before="400" w:line="240"/>
        <w:jc w:val="left"/>
      </w:pPr>
      <w:r>
        <w:rPr>
          <w:rFonts w:ascii="Calibri" w:cs="Calibri" w:eastAsia="Calibri" w:hAnsi="Calibri"/>
          <w:b/>
          <w:bCs/>
          <w:color w:val="000000"/>
          <w:sz w:val="20"/>
          <w:szCs w:val="20"/>
        </w:rPr>
        <w:t xml:space="preserve">Revisión posterior</w:t>
      </w:r>
    </w:p>
    <w:p>
      <w:pPr>
        <w:spacing w:after="120" w:before="0" w:line="276"/>
        <w:jc w:val="left"/>
      </w:pPr>
      <w:r>
        <w:rPr>
          <w:rFonts w:ascii="Calibri" w:cs="Calibri" w:eastAsia="Calibri" w:hAnsi="Calibri"/>
          <w:b w:val="false"/>
          <w:bCs w:val="false"/>
          <w:color w:val="333333"/>
          <w:sz w:val="20"/>
          <w:szCs w:val="20"/>
        </w:rPr>
        <w:t xml:space="preserve">Seguridad de la Información deberá revisar, cuando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Congruencia entre lo autorizado y lo ejecutado;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Hallazgos derivados del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acciones correctivas;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mantener o retirar la herramienta del padrón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ajustar controles compensatorios o criterios de autorización futura.</w:t>
      </w:r>
    </w:p>
    <w:p>
      <w:r>
        <w:t xml:space="preserve"> </w:t>
      </w:r>
    </w:p>
    <w:p>
      <w:pPr>
        <w:pStyle w:val="Heading1"/>
        <w:pBdr>
          <w:bottom w:val="single" w:color="D9D9D9" w:sz="4" w:space="8"/>
        </w:pBdr>
        <w:spacing w:after="200" w:before="400" w:line="240"/>
      </w:pPr>
      <w:bookmarkStart w:name="section_9_controles_compensatorios" w:id="1"/>
      <w:r>
        <w:t xml:space="preserve"/>
      </w:r>
      <w:bookmarkEnd w:id="1"/>
      <w:r>
        <w:rPr>
          <w:rFonts w:ascii="Calibri" w:cs="Calibri" w:eastAsia="Calibri" w:hAnsi="Calibri"/>
          <w:b/>
          <w:bCs/>
          <w:color w:val="000000"/>
          <w:sz w:val="28"/>
          <w:szCs w:val="28"/>
        </w:rPr>
        <w:t xml:space="preserve">10. CONTROLES COMPENSATORIOS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Dependiendo del riesgo, podrán aplicarse uno o más de los siguientes controles compensatorios: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Supervisión en tiempo real;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Doble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de cuenta nominativa;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MFA;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Restricción por IP, red o segmento;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Ventana controlada de ejecución;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Monitoreo reforzado;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Respaldo previo;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Validación posterior de integridad;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Revisión independiente de resultados;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Segregación de funciones.</w:t>
      </w:r>
    </w:p>
    <w:p>
      <w:r>
        <w:t xml:space="preserve"> </w:t>
      </w:r>
    </w:p>
    <w:p>
      <w:pPr>
        <w:pStyle w:val="Heading1"/>
        <w:pBdr>
          <w:bottom w:val="single" w:color="D9D9D9" w:sz="4" w:space="8"/>
        </w:pBdr>
        <w:spacing w:after="200" w:before="400" w:line="240"/>
      </w:pPr>
      <w:bookmarkStart w:name="section_10_registro_permanente_e_independiente" w:id="1"/>
      <w:r>
        <w:t xml:space="preserve"/>
      </w:r>
      <w:bookmarkEnd w:id="1"/>
      <w:r>
        <w:rPr>
          <w:rFonts w:ascii="Calibri" w:cs="Calibri" w:eastAsia="Calibri" w:hAnsi="Calibri"/>
          <w:b/>
          <w:bCs/>
          <w:color w:val="000000"/>
          <w:sz w:val="28"/>
          <w:szCs w:val="28"/>
        </w:rPr>
        <w:t xml:space="preserve">11. REGISTRO PERMANENTE E INDEPENDIENTE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organización deberá mantener un registro permanente e independiente del listado de herramientas comprendidas en este procedimiento.</w:t>
      </w:r>
    </w:p>
    <w:p>
      <w:pPr>
        <w:spacing w:after="120" w:before="0" w:line="276"/>
        <w:jc w:val="both"/>
      </w:pPr>
      <w:r>
        <w:rPr>
          <w:rFonts w:ascii="Calibri" w:cs="Calibri" w:eastAsia="Calibri" w:hAnsi="Calibri"/>
          <w:b w:val="false"/>
          <w:bCs w:val="false"/>
          <w:color w:val="333333"/>
          <w:sz w:val="20"/>
          <w:szCs w:val="20"/>
        </w:rPr>
        <w:t xml:space="preserve">Dicho registro deberá mantenerse actualizado y separado del inventario general de software. Como mínimo deberá incluir: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Folio o identificador;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 la herramienta;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Categoría;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Fabricante;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Versión;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 custodio;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Finalidad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o servicios donde puede utilizarse;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privilegio o control que puede omitir;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alta en el registro;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última revisión;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Vigencia de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Estado: activa, suspendida, retirada o no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Referencia de evidencia documental;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Observaciones relevantes.</w:t>
      </w:r>
    </w:p>
    <w:p>
      <w:r>
        <w:t xml:space="preserve"> </w:t>
      </w:r>
    </w:p>
    <w:p>
      <w:pPr>
        <w:pStyle w:val="Heading1"/>
        <w:pBdr>
          <w:bottom w:val="single" w:color="D9D9D9" w:sz="4" w:space="8"/>
        </w:pBdr>
        <w:spacing w:after="200" w:before="400" w:line="240"/>
      </w:pPr>
      <w:bookmarkStart w:name="section_11_prohiniciones" w:id="1"/>
      <w:r>
        <w:t xml:space="preserve"/>
      </w:r>
      <w:bookmarkEnd w:id="1"/>
      <w:r>
        <w:rPr>
          <w:rFonts w:ascii="Calibri" w:cs="Calibri" w:eastAsia="Calibri" w:hAnsi="Calibri"/>
          <w:b/>
          <w:bCs/>
          <w:color w:val="000000"/>
          <w:sz w:val="28"/>
          <w:szCs w:val="28"/>
        </w:rPr>
        <w:t xml:space="preserve">12. PROHINICIONES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Queda prohibido: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Utilizar herramientas no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Mantener herramientas de este tipo fuera del registro independiente;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Operar fuera del alcance o vigencia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Compartir cuentas o privilegios asociados a estas herramientas;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Ocultar evidencias de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Conservar privilegios temporales más allá del periodo aprobado;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Instalar versiones distintas a las aprobadas sin reevaluación;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Permitir uso por terceros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Usar estas herramientas para fines distintos al objetivo aprobado</w:t>
      </w:r>
    </w:p>
    <w:p>
      <w:r>
        <w:t xml:space="preserve"> </w:t>
      </w:r>
    </w:p>
    <w:p>
      <w:pPr>
        <w:pStyle w:val="Heading1"/>
        <w:pBdr>
          <w:bottom w:val="single" w:color="D9D9D9" w:sz="4" w:space="8"/>
        </w:pBdr>
        <w:spacing w:after="200" w:before="400" w:line="240"/>
      </w:pPr>
      <w:bookmarkStart w:name="section_12_atencion_de_incidentes" w:id="1"/>
      <w:r>
        <w:t xml:space="preserve"/>
      </w:r>
      <w:bookmarkEnd w:id="1"/>
      <w:r>
        <w:rPr>
          <w:rFonts w:ascii="Calibri" w:cs="Calibri" w:eastAsia="Calibri" w:hAnsi="Calibri"/>
          <w:b/>
          <w:bCs/>
          <w:color w:val="000000"/>
          <w:sz w:val="28"/>
          <w:szCs w:val="28"/>
        </w:rPr>
        <w:t xml:space="preserve">13. ATENCIÓN DE INCIDENTES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Si durante el uso de la herramienta ocurre: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Afectación al servicio;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no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Exposición de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Alteración no prevista;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Falla relevante;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Hallazgo crítico de seguridad,</w:t>
      </w:r>
    </w:p>
    <w:p>
      <w:pPr>
        <w:spacing w:after="120" w:before="0" w:line="276"/>
        <w:jc w:val="left"/>
      </w:pPr>
      <w:r>
        <w:rPr>
          <w:rFonts w:ascii="Calibri" w:cs="Calibri" w:eastAsia="Calibri" w:hAnsi="Calibri"/>
          <w:b w:val="false"/>
          <w:bCs w:val="false"/>
          <w:color w:val="333333"/>
          <w:sz w:val="20"/>
          <w:szCs w:val="20"/>
        </w:rPr>
        <w:t xml:space="preserve">deberá activarse el procedimiento de atención a incidentes y notificarse de inmediato a Seguridad de la Información y a las áreas responsables.</w:t>
      </w:r>
    </w:p>
    <w:p>
      <w:r>
        <w:t xml:space="preserve"> </w:t>
      </w:r>
    </w:p>
    <w:p>
      <w:pPr>
        <w:pStyle w:val="Heading1"/>
        <w:pBdr>
          <w:bottom w:val="single" w:color="D9D9D9" w:sz="4" w:space="8"/>
        </w:pBdr>
        <w:spacing w:after="200" w:before="400" w:line="240"/>
      </w:pPr>
      <w:bookmarkStart w:name="section_13_evidencia_y_conservacion_documental" w:id="1"/>
      <w:r>
        <w:t xml:space="preserve"/>
      </w:r>
      <w:bookmarkEnd w:id="1"/>
      <w:r>
        <w:rPr>
          <w:rFonts w:ascii="Calibri" w:cs="Calibri" w:eastAsia="Calibri" w:hAnsi="Calibri"/>
          <w:b/>
          <w:bCs/>
          <w:color w:val="000000"/>
          <w:sz w:val="28"/>
          <w:szCs w:val="28"/>
        </w:rPr>
        <w:t xml:space="preserve">14. EVIDENCIA Y CONSERVACIÓN DOCUMENTAL</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Como evidencia de cumplimiento de este procedimiento deberán conservarse, según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Solicitud de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Evaluación de riesgo;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Aprobación formal;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en padrón independiente;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 técnica de ejecución;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Constancia de cierre;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Bitácoras o logs;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Controles compensatorios aplicados;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Incidentes o hallazgos relacionados.</w:t>
      </w:r>
    </w:p>
    <w:p>
      <w:r>
        <w:t xml:space="preserve"> </w:t>
      </w:r>
    </w:p>
    <w:p>
      <w:pPr>
        <w:pStyle w:val="Heading1"/>
        <w:pBdr>
          <w:bottom w:val="single" w:color="D9D9D9" w:sz="4" w:space="8"/>
        </w:pBdr>
        <w:spacing w:after="200" w:before="400" w:line="240"/>
      </w:pPr>
      <w:bookmarkStart w:name="section_14_incumplmientos" w:id="1"/>
      <w:r>
        <w:t xml:space="preserve"/>
      </w:r>
      <w:bookmarkEnd w:id="1"/>
      <w:r>
        <w:rPr>
          <w:rFonts w:ascii="Calibri" w:cs="Calibri" w:eastAsia="Calibri" w:hAnsi="Calibri"/>
          <w:b/>
          <w:bCs/>
          <w:color w:val="000000"/>
          <w:sz w:val="28"/>
          <w:szCs w:val="28"/>
        </w:rPr>
        <w:t xml:space="preserve">15. INCUMPLMIENTOS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incumplimiento del presente procedimiento podrá dar lugar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inmediata de la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Suspensión del uso de la herramienta;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Medidas correctivas;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Observaciones de auditoría;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Acciones disciplinarias o contractuales;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Escalamiento a Dirección, cuando el incumplimiento genere riesgo relevante.</w:t>
      </w:r>
    </w:p>
    <w:p>
      <w:r>
        <w:t xml:space="preserve"> </w:t>
      </w:r>
    </w:p>
    <w:p>
      <w:pPr>
        <w:pStyle w:val="Heading1"/>
        <w:pBdr>
          <w:bottom w:val="single" w:color="D9D9D9" w:sz="4" w:space="8"/>
        </w:pBdr>
        <w:spacing w:after="200" w:before="400" w:line="240"/>
      </w:pPr>
      <w:bookmarkStart w:name="section_15_excepciones" w:id="1"/>
      <w:r>
        <w:t xml:space="preserve"/>
      </w:r>
      <w:bookmarkEnd w:id="1"/>
      <w:r>
        <w:rPr>
          <w:rFonts w:ascii="Calibri" w:cs="Calibri" w:eastAsia="Calibri" w:hAnsi="Calibri"/>
          <w:b/>
          <w:bCs/>
          <w:color w:val="000000"/>
          <w:sz w:val="28"/>
          <w:szCs w:val="28"/>
        </w:rPr>
        <w:t xml:space="preserve">16. EXCEPCIONES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Cualquier excepción a este procedimiento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Justificarse por escrito;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Aprobarse formalmente;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Incluir controles compensatorios;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Tener vigencia limitada;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Quedar documentada y registrada.</w:t>
      </w:r>
    </w:p>
    <w:p>
      <w:r>
        <w:t xml:space="preserve"> </w:t>
      </w:r>
    </w:p>
    <w:p>
      <w:pPr>
        <w:pStyle w:val="Heading1"/>
        <w:pBdr>
          <w:bottom w:val="single" w:color="D9D9D9" w:sz="4" w:space="8"/>
        </w:pBdr>
        <w:spacing w:after="200" w:before="400" w:line="240"/>
      </w:pPr>
      <w:bookmarkStart w:name="section_16_periodicidad_de_revision" w:id="1"/>
      <w:r>
        <w:t xml:space="preserve"/>
      </w:r>
      <w:bookmarkEnd w:id="1"/>
      <w:r>
        <w:rPr>
          <w:rFonts w:ascii="Calibri" w:cs="Calibri" w:eastAsia="Calibri" w:hAnsi="Calibri"/>
          <w:b/>
          <w:bCs/>
          <w:color w:val="000000"/>
          <w:sz w:val="28"/>
          <w:szCs w:val="28"/>
        </w:rPr>
        <w:t xml:space="preserve">17.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7_glosario" w:id="1"/>
      <w:r>
        <w:rPr>
          <w:rFonts w:ascii="Calibri" w:cs="Calibri" w:eastAsia="Calibri" w:hAnsi="Calibri"/>
          <w:b/>
          <w:bCs/>
          <w:color w:val="000000"/>
          <w:sz w:val="28"/>
          <w:szCs w:val="28"/>
        </w:rPr>
        <w:t xml:space="preserve">18.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el uso de herramientas de análisis de vulnerabilidades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el uso de herramientas de análisis de vulnerabilidades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el uso de herramientas de anlisis de vulnerabilidades</dc:title>
  <dc:subject>Proceso</dc:subject>
  <dc:creator>Administrador MAPLINKS</dc:creator>
  <cp:keywords>PR-SF-014</cp:keywords>
  <dc:description>Documento PR-SF-014</dc:description>
  <cp:lastModifiedBy>Administrador MAPLINKS</cp:lastModifiedBy>
  <cp:revision>1</cp:revision>
  <dcterms:created xsi:type="dcterms:W3CDTF">2026-09-30T21:33:30.381Z</dcterms:created>
  <dcterms:modified xsi:type="dcterms:W3CDTF">2026-09-30T21:33:30.381Z</dcterms:modified>
</cp:coreProperties>
</file>

<file path=docProps/custom.xml><?xml version="1.0" encoding="utf-8"?>
<Properties xmlns="http://schemas.openxmlformats.org/officeDocument/2006/custom-properties" xmlns:vt="http://schemas.openxmlformats.org/officeDocument/2006/docPropsVTypes"/>
</file>