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una política de gestión y uso de contraseñas significa establecer un </w:t>
      </w:r>
      <w:r>
        <w:rPr>
          <w:rFonts w:ascii="Calibri" w:cs="Calibri" w:eastAsia="Calibri" w:hAnsi="Calibri"/>
          <w:b/>
          <w:bCs/>
          <w:color w:val="333333"/>
          <w:sz w:val="20"/>
          <w:szCs w:val="20"/>
        </w:rPr>
        <w:t xml:space="preserve">"Estándar de Autenticación Robusta"</w:t>
      </w:r>
      <w:r>
        <w:rPr>
          <w:rFonts w:ascii="Calibri" w:cs="Calibri" w:eastAsia="Calibri" w:hAnsi="Calibri"/>
          <w:b w:val="false"/>
          <w:bCs w:val="false"/>
          <w:color w:val="333333"/>
          <w:sz w:val="20"/>
          <w:szCs w:val="20"/>
        </w:rPr>
        <w:t xml:space="preserve">. Representa la primera línea de defensa técnica que garantiza que solo las identidades validadas puedan interactuar con la información de los contribuyentes. Para nosotros, una contraseña no es una simple clave, sino una herramienta de seguridad que debe ser dinámica, compleja y secreta, asegurando que el acceso a la plataforma del monedero electrónico sea impenetrable para terceros no autorizados.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Establecer los requisitos técnicos y operativos para la creación, asignación, almacenamiento, uso y cambio de las contraseñas en todos los sistemas y servicios de red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garantizando un nivel de complejidad que minimice el riesgo de acceso ilícito.</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 política es de cumplimiento mandatorio para todos los accionistas, colaboradores, proveedores y terceros autorizados que posean una cuenta de usuario en los activos de información de la empresa.</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req_28_PO_SF_011.pdf</w:t>
      </w:r>
    </w:p>
    <w:p>
      <w:pPr>
        <w:spacing w:after="60" w:before="60" w:line="276"/>
      </w:pPr>
      <w:r>
        <w:rPr>
          <w:rFonts w:ascii="Calibri" w:cs="Calibri" w:eastAsia="Calibri" w:hAnsi="Calibri"/>
          <w:b w:val="false"/>
          <w:bCs w:val="false"/>
          <w:color w:val="333333"/>
          <w:sz w:val="20"/>
          <w:szCs w:val="20"/>
        </w:rPr>
        <w:t xml:space="preserve">• EV-SF-081 — EVIDENCIA_DE_USO_DE_CONTRASEÑAS_F.pdf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·Vigilar el procedimiento y cumplimiento de las políticas.</w:t>
            </w:r>
          </w:p>
          <w:p>
            <w:pPr>
              <w:jc w:val="left"/>
            </w:pPr>
            <w:r>
              <w:rPr>
                <w:rFonts w:ascii="Calibri" w:cs="Calibri" w:eastAsia="Calibri" w:hAnsi="Calibri"/>
                <w:b w:val="false"/>
                <w:bCs w:val="false"/>
                <w:color w:val="333333"/>
                <w:sz w:val="18"/>
                <w:szCs w:val="18"/>
              </w:rPr>
              <w:t xml:space="preserve">·Inicia procedimiento de control de daños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Empleado (contacto interno)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del uso de las contraseñas.</w:t>
            </w:r>
          </w:p>
          <w:p>
            <w:pPr>
              <w:jc w:val="left"/>
            </w:pPr>
            <w:r>
              <w:rPr>
                <w:rFonts w:ascii="Calibri" w:cs="Calibri" w:eastAsia="Calibri" w:hAnsi="Calibri"/>
                <w:b w:val="false"/>
                <w:bCs w:val="false"/>
                <w:color w:val="333333"/>
                <w:sz w:val="18"/>
                <w:szCs w:val="18"/>
              </w:rPr>
              <w:t xml:space="preserve">·Solicitar reset de contraseñas.</w:t>
            </w:r>
          </w:p>
          <w:p>
            <w:pPr>
              <w:jc w:val="left"/>
            </w:pPr>
            <w:r>
              <w:rPr>
                <w:rFonts w:ascii="Calibri" w:cs="Calibri" w:eastAsia="Calibri" w:hAnsi="Calibri"/>
                <w:b w:val="false"/>
                <w:bCs w:val="false"/>
                <w:color w:val="333333"/>
                <w:sz w:val="18"/>
                <w:szCs w:val="18"/>
              </w:rPr>
              <w:t xml:space="preserve">·Tramitar a favor del tercero, las contraseñas correspondientes.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del activo (responsable de la gestión del hardware o software que le corresponda)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·Generar contraseñas</w:t>
            </w:r>
          </w:p>
          <w:p>
            <w:pPr>
              <w:jc w:val="left"/>
            </w:pPr>
            <w:r>
              <w:rPr>
                <w:rFonts w:ascii="Calibri" w:cs="Calibri" w:eastAsia="Calibri" w:hAnsi="Calibri"/>
                <w:b w:val="false"/>
                <w:bCs w:val="false"/>
                <w:color w:val="333333"/>
                <w:sz w:val="18"/>
                <w:szCs w:val="18"/>
              </w:rPr>
              <w:t xml:space="preserve">·Realizar resets de contraseñas</w:t>
            </w:r>
          </w:p>
          <w:p>
            <w:pPr>
              <w:jc w:val="left"/>
            </w:pPr>
            <w:r>
              <w:rPr>
                <w:rFonts w:ascii="Calibri" w:cs="Calibri" w:eastAsia="Calibri" w:hAnsi="Calibri"/>
                <w:b w:val="false"/>
                <w:bCs w:val="false"/>
                <w:color w:val="333333"/>
                <w:sz w:val="18"/>
                <w:szCs w:val="18"/>
              </w:rPr>
              <w:t xml:space="preserve">·Configurar los parámetros requeridos para la creación de contraseñas normales y privilegiadas, en los diferentes sistemas.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 (colaborador externo)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·Usar los accesos otorgados, específicamente para el desempeño de sus funciones.</w:t>
            </w:r>
          </w:p>
          <w:p>
            <w:pPr>
              <w:jc w:val="left"/>
            </w:pPr>
            <w:r>
              <w:rPr>
                <w:rFonts w:ascii="Calibri" w:cs="Calibri" w:eastAsia="Calibri" w:hAnsi="Calibri"/>
                <w:b w:val="false"/>
                <w:bCs w:val="false"/>
                <w:color w:val="333333"/>
                <w:sz w:val="18"/>
                <w:szCs w:val="18"/>
              </w:rPr>
              <w:t xml:space="preserve">·Notificar diariamente, a su contacto interno, sobre las actividades realizadas con el uso de las contraseñas asignadas.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·Realizar el reset de contraseñas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la base de datos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·Aplicar la configuración necesaria al motor de base de datos, para cifrar, de forma automática, las contraseñas creadas en los distintos sistemas.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ntos_tecnicos_de_composicion" w:id="1"/>
      <w:r>
        <w:t xml:space="preserve"/>
      </w:r>
      <w:bookmarkEnd w:id="1"/>
      <w:r>
        <w:rPr>
          <w:rFonts w:ascii="Calibri" w:cs="Calibri" w:eastAsia="Calibri" w:hAnsi="Calibri"/>
          <w:b/>
          <w:bCs/>
          <w:color w:val="000000"/>
          <w:sz w:val="28"/>
          <w:szCs w:val="28"/>
        </w:rPr>
        <w:t xml:space="preserve">7. LINEAMIENTOS TÉCNICOS DE COMPOSICIÓN</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Longitud y Composición para Cuentas Estándar</w:t>
      </w:r>
    </w:p>
    <w:p>
      <w:pPr>
        <w:spacing w:after="120" w:before="0" w:line="276"/>
        <w:jc w:val="left"/>
      </w:pPr>
      <w:r>
        <w:rPr>
          <w:rFonts w:ascii="Calibri" w:cs="Calibri" w:eastAsia="Calibri" w:hAnsi="Calibri"/>
          <w:b w:val="false"/>
          <w:bCs w:val="false"/>
          <w:color w:val="333333"/>
          <w:sz w:val="20"/>
          <w:szCs w:val="20"/>
        </w:rPr>
        <w:t xml:space="preserve">Para todos los usuarios operativos y administrativos:</w:t>
      </w:r>
    </w:p>
    <w:p>
      <w:pPr>
        <w:pStyle w:val="ListParagraph"/>
        <w:numPr>
          <w:ilvl w:val="0"/>
          <w:numId w:val="1"/>
        </w:numPr>
        <w:spacing w:line="276"/>
        <w:jc w:val="left"/>
      </w:pPr>
      <w:r>
        <w:rPr>
          <w:rFonts w:ascii="Calibri" w:cs="Calibri" w:eastAsia="Calibri" w:hAnsi="Calibri"/>
          <w:b/>
          <w:bCs/>
          <w:color w:val="333333"/>
          <w:sz w:val="20"/>
          <w:szCs w:val="20"/>
        </w:rPr>
        <w:t xml:space="preserve">Longitud Mínima:</w:t>
      </w:r>
      <w:r>
        <w:rPr>
          <w:rFonts w:ascii="Calibri" w:cs="Calibri" w:eastAsia="Calibri" w:hAnsi="Calibri"/>
          <w:b w:val="false"/>
          <w:bCs w:val="false"/>
          <w:color w:val="333333"/>
          <w:sz w:val="20"/>
          <w:szCs w:val="20"/>
        </w:rPr>
        <w:t xml:space="preserve"> 12 caracteres.</w:t>
      </w:r>
    </w:p>
    <w:p>
      <w:pPr>
        <w:pStyle w:val="ListParagraph"/>
        <w:numPr>
          <w:ilvl w:val="0"/>
          <w:numId w:val="1"/>
        </w:numPr>
        <w:spacing w:line="276"/>
        <w:jc w:val="left"/>
      </w:pPr>
      <w:r>
        <w:rPr>
          <w:rFonts w:ascii="Calibri" w:cs="Calibri" w:eastAsia="Calibri" w:hAnsi="Calibri"/>
          <w:b/>
          <w:bCs/>
          <w:color w:val="333333"/>
          <w:sz w:val="20"/>
          <w:szCs w:val="20"/>
        </w:rPr>
        <w:t xml:space="preserve">Composición:</w:t>
      </w:r>
      <w:r>
        <w:rPr>
          <w:rFonts w:ascii="Calibri" w:cs="Calibri" w:eastAsia="Calibri" w:hAnsi="Calibri"/>
          <w:b w:val="false"/>
          <w:bCs w:val="false"/>
          <w:color w:val="333333"/>
          <w:sz w:val="20"/>
          <w:szCs w:val="20"/>
        </w:rPr>
        <w:t xml:space="preserve"> Debe combinar al menos tres de los siguientes cuatro grupos: mayúsculas, minúsculas, números y caracteres especiales (ej. </w:t>
      </w:r>
      <w:r>
        <w:rPr>
          <w:rFonts w:ascii="Calibri" w:cs="Calibri" w:eastAsia="Calibri" w:hAnsi="Calibri"/>
          <w:b w:val="false"/>
          <w:bCs w:val="false"/>
          <w:color w:val="333333"/>
          <w:sz w:val="20"/>
          <w:szCs w:val="20"/>
        </w:rPr>
        <w:t xml:space="preserve">!@#$%^&amp;*</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bCs/>
          <w:color w:val="333333"/>
          <w:sz w:val="20"/>
          <w:szCs w:val="20"/>
        </w:rPr>
        <w:t xml:space="preserve">Restricción:</w:t>
      </w:r>
      <w:r>
        <w:rPr>
          <w:rFonts w:ascii="Calibri" w:cs="Calibri" w:eastAsia="Calibri" w:hAnsi="Calibri"/>
          <w:b w:val="false"/>
          <w:bCs w:val="false"/>
          <w:color w:val="333333"/>
          <w:sz w:val="20"/>
          <w:szCs w:val="20"/>
        </w:rPr>
        <w:t xml:space="preserve"> No se permiten palabras de diccionario, nombres de la empresa o datos personales (RFC, fechas de nacimiento).</w:t>
      </w:r>
    </w:p>
    <w:p>
      <w:pPr>
        <w:pStyle w:val="Heading2"/>
        <w:spacing w:after="200" w:before="400" w:line="240"/>
        <w:jc w:val="left"/>
      </w:pPr>
      <w:r>
        <w:rPr>
          <w:rFonts w:ascii="Calibri" w:cs="Calibri" w:eastAsia="Calibri" w:hAnsi="Calibri"/>
          <w:b/>
          <w:bCs/>
          <w:color w:val="000000"/>
          <w:sz w:val="20"/>
          <w:szCs w:val="20"/>
        </w:rPr>
        <w:t xml:space="preserve">Longitud y Composición para Cuentas Privilegiadas</w:t>
      </w:r>
    </w:p>
    <w:p>
      <w:pPr>
        <w:spacing w:after="120" w:before="0" w:line="276"/>
        <w:jc w:val="left"/>
      </w:pPr>
      <w:r>
        <w:rPr>
          <w:rFonts w:ascii="Calibri" w:cs="Calibri" w:eastAsia="Calibri" w:hAnsi="Calibri"/>
          <w:b w:val="false"/>
          <w:bCs w:val="false"/>
          <w:color w:val="333333"/>
          <w:sz w:val="20"/>
          <w:szCs w:val="20"/>
        </w:rPr>
        <w:t xml:space="preserve">Aplicable a administradores de sistemas (root), bases de datos (DBA) y red:</w:t>
      </w:r>
    </w:p>
    <w:p>
      <w:pPr>
        <w:pStyle w:val="ListParagraph"/>
        <w:numPr>
          <w:ilvl w:val="0"/>
          <w:numId w:val="1"/>
        </w:numPr>
        <w:spacing w:line="276"/>
        <w:jc w:val="left"/>
      </w:pPr>
      <w:r>
        <w:rPr>
          <w:rFonts w:ascii="Calibri" w:cs="Calibri" w:eastAsia="Calibri" w:hAnsi="Calibri"/>
          <w:b/>
          <w:bCs/>
          <w:color w:val="333333"/>
          <w:sz w:val="20"/>
          <w:szCs w:val="20"/>
        </w:rPr>
        <w:t xml:space="preserve">Longitud Mínima:</w:t>
      </w:r>
      <w:r>
        <w:t xml:space="preserve"> </w:t>
      </w:r>
      <w:r>
        <w:rPr>
          <w:rFonts w:ascii="Calibri" w:cs="Calibri" w:eastAsia="Calibri" w:hAnsi="Calibri"/>
          <w:b/>
          <w:bCs/>
          <w:color w:val="333333"/>
          <w:sz w:val="20"/>
          <w:szCs w:val="20"/>
        </w:rPr>
        <w:t xml:space="preserve">16 caracteres</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bCs/>
          <w:color w:val="333333"/>
          <w:sz w:val="20"/>
          <w:szCs w:val="20"/>
        </w:rPr>
        <w:t xml:space="preserve">Composición:</w:t>
      </w:r>
      <w:r>
        <w:rPr>
          <w:rFonts w:ascii="Calibri" w:cs="Calibri" w:eastAsia="Calibri" w:hAnsi="Calibri"/>
          <w:b w:val="false"/>
          <w:bCs w:val="false"/>
          <w:color w:val="333333"/>
          <w:sz w:val="20"/>
          <w:szCs w:val="20"/>
        </w:rPr>
        <w:t xml:space="preserve"> Debe combinar obligatoriamente los cuatro grupos de caracteres.</w:t>
      </w:r>
    </w:p>
    <w:p>
      <w:pPr>
        <w:pStyle w:val="ListParagraph"/>
        <w:numPr>
          <w:ilvl w:val="0"/>
          <w:numId w:val="1"/>
        </w:numPr>
        <w:spacing w:line="276"/>
        <w:jc w:val="left"/>
      </w:pPr>
      <w:r>
        <w:rPr>
          <w:rFonts w:ascii="Calibri" w:cs="Calibri" w:eastAsia="Calibri" w:hAnsi="Calibri"/>
          <w:b/>
          <w:bCs/>
          <w:color w:val="333333"/>
          <w:sz w:val="20"/>
          <w:szCs w:val="20"/>
        </w:rPr>
        <w:t xml:space="preserve">Factor Adicional:</w:t>
      </w:r>
      <w:r>
        <w:rPr>
          <w:rFonts w:ascii="Calibri" w:cs="Calibri" w:eastAsia="Calibri" w:hAnsi="Calibri"/>
          <w:b w:val="false"/>
          <w:bCs w:val="false"/>
          <w:color w:val="333333"/>
          <w:sz w:val="20"/>
          <w:szCs w:val="20"/>
        </w:rPr>
        <w:t xml:space="preserve"> Es </w:t>
      </w:r>
      <w:r>
        <w:rPr>
          <w:rFonts w:ascii="Calibri" w:cs="Calibri" w:eastAsia="Calibri" w:hAnsi="Calibri"/>
          <w:b/>
          <w:bCs/>
          <w:color w:val="333333"/>
          <w:sz w:val="20"/>
          <w:szCs w:val="20"/>
        </w:rPr>
        <w:t xml:space="preserve">mandatorio</w:t>
      </w:r>
      <w:r>
        <w:rPr>
          <w:rFonts w:ascii="Calibri" w:cs="Calibri" w:eastAsia="Calibri" w:hAnsi="Calibri"/>
          <w:b w:val="false"/>
          <w:bCs w:val="false"/>
          <w:color w:val="333333"/>
          <w:sz w:val="20"/>
          <w:szCs w:val="20"/>
        </w:rPr>
        <w:t xml:space="preserve"> el uso de Autenticación Multifactor (MFA) para cualquier acceso con privilegios elevados.</w:t>
      </w:r>
    </w:p>
    <w:p>
      <w:pPr>
        <w:pStyle w:val="ListParagraph"/>
        <w:numPr>
          <w:ilvl w:val="0"/>
          <w:numId w:val="1"/>
        </w:numPr>
        <w:spacing w:line="276"/>
        <w:jc w:val="left"/>
      </w:pPr>
      <w:r>
        <w:rPr>
          <w:rFonts w:ascii="Calibri" w:cs="Calibri" w:eastAsia="Calibri" w:hAnsi="Calibri"/>
          <w:b/>
          <w:bCs/>
          <w:color w:val="333333"/>
          <w:sz w:val="20"/>
          <w:szCs w:val="20"/>
        </w:rPr>
        <w:t xml:space="preserve">Rotación:</w:t>
      </w:r>
      <w:r>
        <w:rPr>
          <w:rFonts w:ascii="Calibri" w:cs="Calibri" w:eastAsia="Calibri" w:hAnsi="Calibri"/>
          <w:b w:val="false"/>
          <w:bCs w:val="false"/>
          <w:color w:val="333333"/>
          <w:sz w:val="20"/>
          <w:szCs w:val="20"/>
        </w:rPr>
        <w:t xml:space="preserve"> Cambio obligatorio cada 60 días (a diferencia de los 90 días estándar).</w:t>
      </w:r>
    </w:p>
    <w:p>
      <w:r>
        <w:t xml:space="preserve"> </w:t>
      </w:r>
    </w:p>
    <w:p>
      <w:pPr>
        <w:pStyle w:val="Heading1"/>
        <w:pBdr>
          <w:bottom w:val="single" w:color="D9D9D9" w:sz="4" w:space="8"/>
        </w:pBdr>
        <w:spacing w:after="200" w:before="400" w:line="240"/>
      </w:pPr>
      <w:bookmarkStart w:name="section_7_uso_y_administracion_de_credenciales" w:id="1"/>
      <w:r>
        <w:t xml:space="preserve"/>
      </w:r>
      <w:bookmarkEnd w:id="1"/>
      <w:r>
        <w:rPr>
          <w:rFonts w:ascii="Calibri" w:cs="Calibri" w:eastAsia="Calibri" w:hAnsi="Calibri"/>
          <w:b/>
          <w:bCs/>
          <w:color w:val="000000"/>
          <w:sz w:val="28"/>
          <w:szCs w:val="28"/>
        </w:rPr>
        <w:t xml:space="preserve">8. USO Y ADMINISTRACIÓN DE CREDENCIALES</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Aspectos de Uso de Contraseñas para Proveedores</w:t>
      </w:r>
    </w:p>
    <w:p>
      <w:pPr>
        <w:pStyle w:val="ListParagraph"/>
        <w:numPr>
          <w:ilvl w:val="0"/>
          <w:numId w:val="1"/>
        </w:numPr>
        <w:spacing w:line="276"/>
        <w:jc w:val="left"/>
      </w:pPr>
      <w:r>
        <w:rPr>
          <w:rFonts w:ascii="Calibri" w:cs="Calibri" w:eastAsia="Calibri" w:hAnsi="Calibri"/>
          <w:b/>
          <w:bCs/>
          <w:color w:val="333333"/>
          <w:sz w:val="20"/>
          <w:szCs w:val="20"/>
        </w:rPr>
        <w:t xml:space="preserve">Cuentas Nominativas:</w:t>
      </w:r>
      <w:r>
        <w:rPr>
          <w:rFonts w:ascii="Calibri" w:cs="Calibri" w:eastAsia="Calibri" w:hAnsi="Calibri"/>
          <w:b w:val="false"/>
          <w:bCs w:val="false"/>
          <w:color w:val="333333"/>
          <w:sz w:val="20"/>
          <w:szCs w:val="20"/>
        </w:rPr>
        <w:t xml:space="preserve"> Se prohíben cuentas genéricas (ej. "Proveedor1"). Cada técnico externo debe tener una cuenta individual.</w:t>
      </w:r>
    </w:p>
    <w:p>
      <w:pPr>
        <w:pStyle w:val="ListParagraph"/>
        <w:numPr>
          <w:ilvl w:val="0"/>
          <w:numId w:val="1"/>
        </w:numPr>
        <w:spacing w:line="276"/>
        <w:jc w:val="left"/>
      </w:pPr>
      <w:r>
        <w:rPr>
          <w:rFonts w:ascii="Calibri" w:cs="Calibri" w:eastAsia="Calibri" w:hAnsi="Calibri"/>
          <w:b/>
          <w:bCs/>
          <w:color w:val="333333"/>
          <w:sz w:val="20"/>
          <w:szCs w:val="20"/>
        </w:rPr>
        <w:t xml:space="preserve">Vigencia Temporal:</w:t>
      </w:r>
      <w:r>
        <w:rPr>
          <w:rFonts w:ascii="Calibri" w:cs="Calibri" w:eastAsia="Calibri" w:hAnsi="Calibri"/>
          <w:b w:val="false"/>
          <w:bCs w:val="false"/>
          <w:color w:val="333333"/>
          <w:sz w:val="20"/>
          <w:szCs w:val="20"/>
        </w:rPr>
        <w:t xml:space="preserve"> Las cuentas de proveedores tendrán una fecha de expiración vinculada a la vigencia de su contrato o ticket de soporte.</w:t>
      </w:r>
    </w:p>
    <w:p>
      <w:pPr>
        <w:pStyle w:val="ListParagraph"/>
        <w:numPr>
          <w:ilvl w:val="0"/>
          <w:numId w:val="1"/>
        </w:numPr>
        <w:spacing w:line="276"/>
        <w:jc w:val="left"/>
      </w:pPr>
      <w:r>
        <w:rPr>
          <w:rFonts w:ascii="Calibri" w:cs="Calibri" w:eastAsia="Calibri" w:hAnsi="Calibri"/>
          <w:b/>
          <w:bCs/>
          <w:color w:val="333333"/>
          <w:sz w:val="20"/>
          <w:szCs w:val="20"/>
        </w:rPr>
        <w:t xml:space="preserve">Acceso bajo Demanda:</w:t>
      </w:r>
      <w:r>
        <w:rPr>
          <w:rFonts w:ascii="Calibri" w:cs="Calibri" w:eastAsia="Calibri" w:hAnsi="Calibri"/>
          <w:b w:val="false"/>
          <w:bCs w:val="false"/>
          <w:color w:val="333333"/>
          <w:sz w:val="20"/>
          <w:szCs w:val="20"/>
        </w:rPr>
        <w:t xml:space="preserve"> Las cuentas de proveedores externos permanecerán deshabilitadas por defecto y se activarán solo durante las ventanas de mantenimiento autorizadas.</w:t>
      </w:r>
    </w:p>
    <w:p>
      <w:pPr>
        <w:pStyle w:val="ListParagraph"/>
        <w:numPr>
          <w:ilvl w:val="0"/>
          <w:numId w:val="1"/>
        </w:numPr>
        <w:spacing w:line="276"/>
        <w:jc w:val="left"/>
      </w:pPr>
      <w:r>
        <w:rPr>
          <w:rFonts w:ascii="Calibri" w:cs="Calibri" w:eastAsia="Calibri" w:hAnsi="Calibri"/>
          <w:b/>
          <w:bCs/>
          <w:color w:val="333333"/>
          <w:sz w:val="20"/>
          <w:szCs w:val="20"/>
        </w:rPr>
        <w:t xml:space="preserve">Monitoreo:</w:t>
      </w:r>
      <w:r>
        <w:rPr>
          <w:rFonts w:ascii="Calibri" w:cs="Calibri" w:eastAsia="Calibri" w:hAnsi="Calibri"/>
          <w:b w:val="false"/>
          <w:bCs w:val="false"/>
          <w:color w:val="333333"/>
          <w:sz w:val="20"/>
          <w:szCs w:val="20"/>
        </w:rPr>
        <w:t xml:space="preserve"> Toda actividad realizada por un proveedor mediante su contraseña será grabada en bitácoras de auditoría no editables.</w:t>
      </w:r>
    </w:p>
    <w:p>
      <w:pPr>
        <w:pStyle w:val="Heading2"/>
        <w:spacing w:after="200" w:before="400" w:line="240"/>
        <w:jc w:val="both"/>
      </w:pPr>
      <w:r>
        <w:rPr>
          <w:rFonts w:ascii="Calibri" w:cs="Calibri" w:eastAsia="Calibri" w:hAnsi="Calibri"/>
          <w:b/>
          <w:bCs/>
          <w:color w:val="000000"/>
          <w:sz w:val="20"/>
          <w:szCs w:val="20"/>
        </w:rPr>
        <w:t xml:space="preserve">Lineamientos de Uso de la Contraseña (Reglas de Oro)</w:t>
      </w:r>
    </w:p>
    <w:p>
      <w:pPr>
        <w:pStyle w:val="ListParagraph"/>
        <w:numPr>
          <w:ilvl w:val="0"/>
          <w:numId w:val="1"/>
        </w:numPr>
        <w:spacing w:line="276"/>
        <w:jc w:val="left"/>
      </w:pPr>
      <w:r>
        <w:rPr>
          <w:rFonts w:ascii="Calibri" w:cs="Calibri" w:eastAsia="Calibri" w:hAnsi="Calibri"/>
          <w:b/>
          <w:bCs/>
          <w:color w:val="333333"/>
          <w:sz w:val="20"/>
          <w:szCs w:val="20"/>
        </w:rPr>
        <w:t xml:space="preserve">Confidencialidad:</w:t>
      </w:r>
      <w:r>
        <w:rPr>
          <w:rFonts w:ascii="Calibri" w:cs="Calibri" w:eastAsia="Calibri" w:hAnsi="Calibri"/>
          <w:b w:val="false"/>
          <w:bCs w:val="false"/>
          <w:color w:val="333333"/>
          <w:sz w:val="20"/>
          <w:szCs w:val="20"/>
        </w:rPr>
        <w:t xml:space="preserve"> Nunca compartir la contraseña con compañeros, jefes o soporte técnico.</w:t>
      </w:r>
    </w:p>
    <w:p>
      <w:pPr>
        <w:pStyle w:val="ListParagraph"/>
        <w:numPr>
          <w:ilvl w:val="0"/>
          <w:numId w:val="1"/>
        </w:numPr>
        <w:spacing w:line="276"/>
        <w:jc w:val="left"/>
      </w:pPr>
      <w:r>
        <w:rPr>
          <w:rFonts w:ascii="Calibri" w:cs="Calibri" w:eastAsia="Calibri" w:hAnsi="Calibri"/>
          <w:b/>
          <w:bCs/>
          <w:color w:val="333333"/>
          <w:sz w:val="20"/>
          <w:szCs w:val="20"/>
        </w:rPr>
        <w:t xml:space="preserve">No Escrita:</w:t>
      </w:r>
      <w:r>
        <w:rPr>
          <w:rFonts w:ascii="Calibri" w:cs="Calibri" w:eastAsia="Calibri" w:hAnsi="Calibri"/>
          <w:b w:val="false"/>
          <w:bCs w:val="false"/>
          <w:color w:val="333333"/>
          <w:sz w:val="20"/>
          <w:szCs w:val="20"/>
        </w:rPr>
        <w:t xml:space="preserve"> Queda prohibido anotar contraseñas en medios físicos (papel) o digitales no cifrados (bloc de notas, correos).</w:t>
      </w:r>
    </w:p>
    <w:p>
      <w:pPr>
        <w:pStyle w:val="ListParagraph"/>
        <w:numPr>
          <w:ilvl w:val="0"/>
          <w:numId w:val="1"/>
        </w:numPr>
        <w:spacing w:line="276"/>
        <w:jc w:val="left"/>
      </w:pPr>
      <w:r>
        <w:rPr>
          <w:rFonts w:ascii="Calibri" w:cs="Calibri" w:eastAsia="Calibri" w:hAnsi="Calibri"/>
          <w:b/>
          <w:bCs/>
          <w:color w:val="333333"/>
          <w:sz w:val="20"/>
          <w:szCs w:val="20"/>
        </w:rPr>
        <w:t xml:space="preserve">No Repetición:</w:t>
      </w:r>
      <w:r>
        <w:rPr>
          <w:rFonts w:ascii="Calibri" w:cs="Calibri" w:eastAsia="Calibri" w:hAnsi="Calibri"/>
          <w:b w:val="false"/>
          <w:bCs w:val="false"/>
          <w:color w:val="333333"/>
          <w:sz w:val="20"/>
          <w:szCs w:val="20"/>
        </w:rPr>
        <w:t xml:space="preserve"> No se debe usar la misma contraseña de los sistemas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servicios personales (redes sociales, banca personal).</w:t>
      </w:r>
    </w:p>
    <w:p>
      <w:pPr>
        <w:pStyle w:val="ListParagraph"/>
        <w:numPr>
          <w:ilvl w:val="0"/>
          <w:numId w:val="1"/>
        </w:numPr>
        <w:spacing w:line="276"/>
        <w:jc w:val="left"/>
      </w:pPr>
      <w:r>
        <w:rPr>
          <w:rFonts w:ascii="Calibri" w:cs="Calibri" w:eastAsia="Calibri" w:hAnsi="Calibri"/>
          <w:b/>
          <w:bCs/>
          <w:color w:val="333333"/>
          <w:sz w:val="20"/>
          <w:szCs w:val="20"/>
        </w:rPr>
        <w:t xml:space="preserve">Cambio en Primer Inicio:</w:t>
      </w:r>
      <w:r>
        <w:rPr>
          <w:rFonts w:ascii="Calibri" w:cs="Calibri" w:eastAsia="Calibri" w:hAnsi="Calibri"/>
          <w:b w:val="false"/>
          <w:bCs w:val="false"/>
          <w:color w:val="333333"/>
          <w:sz w:val="20"/>
          <w:szCs w:val="20"/>
        </w:rPr>
        <w:t xml:space="preserve"> Toda contraseña temporal entregada por TI debe ser cambiada inmediatamente por el usuario.</w:t>
      </w:r>
    </w:p>
    <w:p>
      <w:pPr>
        <w:pStyle w:val="Heading2"/>
        <w:spacing w:after="200" w:before="400" w:line="240"/>
        <w:jc w:val="left"/>
      </w:pPr>
      <w:r>
        <w:rPr>
          <w:rFonts w:ascii="Calibri" w:cs="Calibri" w:eastAsia="Calibri" w:hAnsi="Calibri"/>
          <w:b/>
          <w:bCs/>
          <w:color w:val="000000"/>
          <w:sz w:val="20"/>
          <w:szCs w:val="20"/>
        </w:rPr>
        <w:t xml:space="preserve">Disposiciones para Almacenar Contraseñas</w:t>
      </w:r>
    </w:p>
    <w:p>
      <w:pPr>
        <w:pStyle w:val="ListParagraph"/>
        <w:numPr>
          <w:ilvl w:val="0"/>
          <w:numId w:val="1"/>
        </w:numPr>
        <w:spacing w:line="276"/>
        <w:jc w:val="left"/>
      </w:pPr>
      <w:r>
        <w:rPr>
          <w:rFonts w:ascii="Calibri" w:cs="Calibri" w:eastAsia="Calibri" w:hAnsi="Calibri"/>
          <w:b/>
          <w:bCs/>
          <w:color w:val="333333"/>
          <w:sz w:val="20"/>
          <w:szCs w:val="20"/>
        </w:rPr>
        <w:t xml:space="preserve">Almacenamiento en Sistemas:</w:t>
      </w:r>
      <w:r>
        <w:rPr>
          <w:rFonts w:ascii="Calibri" w:cs="Calibri" w:eastAsia="Calibri" w:hAnsi="Calibri"/>
          <w:b w:val="false"/>
          <w:bCs w:val="false"/>
          <w:color w:val="333333"/>
          <w:sz w:val="20"/>
          <w:szCs w:val="20"/>
        </w:rPr>
        <w:t xml:space="preserve"> Se prohíbe el almacenamiento de contraseñas en texto plano. Se deberán utilizar algoritmos de </w:t>
      </w:r>
      <w:r>
        <w:rPr>
          <w:rFonts w:ascii="Calibri" w:cs="Calibri" w:eastAsia="Calibri" w:hAnsi="Calibri"/>
          <w:b w:val="false"/>
          <w:bCs w:val="false"/>
          <w:i/>
          <w:iCs/>
          <w:color w:val="333333"/>
          <w:sz w:val="20"/>
          <w:szCs w:val="20"/>
        </w:rPr>
        <w:t xml:space="preserve">hashing</w:t>
      </w:r>
      <w:r>
        <w:rPr>
          <w:rFonts w:ascii="Calibri" w:cs="Calibri" w:eastAsia="Calibri" w:hAnsi="Calibri"/>
          <w:b w:val="false"/>
          <w:bCs w:val="false"/>
          <w:color w:val="333333"/>
          <w:sz w:val="20"/>
          <w:szCs w:val="20"/>
        </w:rPr>
        <w:t xml:space="preserve"> fuertes con "sal" (ej. Argon2 o bcrypt).</w:t>
      </w:r>
    </w:p>
    <w:p>
      <w:pPr>
        <w:pStyle w:val="ListParagraph"/>
        <w:numPr>
          <w:ilvl w:val="0"/>
          <w:numId w:val="1"/>
        </w:numPr>
        <w:spacing w:line="276"/>
        <w:jc w:val="left"/>
      </w:pPr>
      <w:r>
        <w:rPr>
          <w:rFonts w:ascii="Calibri" w:cs="Calibri" w:eastAsia="Calibri" w:hAnsi="Calibri"/>
          <w:b/>
          <w:bCs/>
          <w:color w:val="333333"/>
          <w:sz w:val="20"/>
          <w:szCs w:val="20"/>
        </w:rPr>
        <w:t xml:space="preserve">Bóvedas de Contraseñas:</w:t>
      </w:r>
      <w:r>
        <w:rPr>
          <w:rFonts w:ascii="Calibri" w:cs="Calibri" w:eastAsia="Calibri" w:hAnsi="Calibri"/>
          <w:b w:val="false"/>
          <w:bCs w:val="false"/>
          <w:color w:val="333333"/>
          <w:sz w:val="20"/>
          <w:szCs w:val="20"/>
        </w:rPr>
        <w:t xml:space="preserve"> Para el resguardo de llaves maestras o cuentas de emergencia, se utilizará un </w:t>
      </w:r>
      <w:r>
        <w:rPr>
          <w:rFonts w:ascii="Calibri" w:cs="Calibri" w:eastAsia="Calibri" w:hAnsi="Calibri"/>
          <w:b/>
          <w:bCs/>
          <w:color w:val="333333"/>
          <w:sz w:val="20"/>
          <w:szCs w:val="20"/>
        </w:rPr>
        <w:t xml:space="preserve">Gestor de Contraseñas (Vault)</w:t>
      </w:r>
      <w:r>
        <w:rPr>
          <w:rFonts w:ascii="Calibri" w:cs="Calibri" w:eastAsia="Calibri" w:hAnsi="Calibri"/>
          <w:b w:val="false"/>
          <w:bCs w:val="false"/>
          <w:color w:val="333333"/>
          <w:sz w:val="20"/>
          <w:szCs w:val="20"/>
        </w:rPr>
        <w:t xml:space="preserve"> corporativo debidamente cifrado y auditado.</w:t>
      </w:r>
    </w:p>
    <w:p>
      <w:pPr>
        <w:pStyle w:val="ListParagraph"/>
        <w:numPr>
          <w:ilvl w:val="0"/>
          <w:numId w:val="1"/>
        </w:numPr>
        <w:spacing w:line="276"/>
        <w:jc w:val="left"/>
      </w:pPr>
      <w:r>
        <w:rPr>
          <w:rFonts w:ascii="Calibri" w:cs="Calibri" w:eastAsia="Calibri" w:hAnsi="Calibri"/>
          <w:b/>
          <w:bCs/>
          <w:color w:val="333333"/>
          <w:sz w:val="20"/>
          <w:szCs w:val="20"/>
        </w:rPr>
        <w:t xml:space="preserve">Código Fuente:</w:t>
      </w:r>
      <w:r>
        <w:rPr>
          <w:rFonts w:ascii="Calibri" w:cs="Calibri" w:eastAsia="Calibri" w:hAnsi="Calibri"/>
          <w:b w:val="false"/>
          <w:bCs w:val="false"/>
          <w:color w:val="333333"/>
          <w:sz w:val="20"/>
          <w:szCs w:val="20"/>
        </w:rPr>
        <w:t xml:space="preserve"> Queda prohibido escribir contraseñas (hardcode) dentro del código fuente de las aplicaciones del monedero electrónico.</w:t>
      </w:r>
    </w:p>
    <w:p>
      <w:r>
        <w:t xml:space="preserve"> </w:t>
      </w:r>
    </w:p>
    <w:p>
      <w:pPr>
        <w:pStyle w:val="Heading1"/>
        <w:pBdr>
          <w:bottom w:val="single" w:color="D9D9D9" w:sz="4" w:space="8"/>
        </w:pBdr>
        <w:spacing w:after="200" w:before="400" w:line="240"/>
      </w:pPr>
      <w:bookmarkStart w:name="section_8_penalizaciones_y_situaciones_fortuitas" w:id="1"/>
      <w:r>
        <w:t xml:space="preserve"/>
      </w:r>
      <w:bookmarkEnd w:id="1"/>
      <w:r>
        <w:rPr>
          <w:rFonts w:ascii="Calibri" w:cs="Calibri" w:eastAsia="Calibri" w:hAnsi="Calibri"/>
          <w:b/>
          <w:bCs/>
          <w:color w:val="000000"/>
          <w:sz w:val="28"/>
          <w:szCs w:val="28"/>
        </w:rPr>
        <w:t xml:space="preserve">9. PENALIZACIONES Y SITUACIONES FORTUITAS</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Penalización:</w:t>
      </w:r>
      <w:r>
        <w:rPr>
          <w:rFonts w:ascii="Calibri" w:cs="Calibri" w:eastAsia="Calibri" w:hAnsi="Calibri"/>
          <w:b w:val="false"/>
          <w:bCs w:val="false"/>
          <w:color w:val="333333"/>
          <w:sz w:val="20"/>
          <w:szCs w:val="20"/>
        </w:rPr>
        <w:t xml:space="preserve"> El uso de contraseñas débiles o compartidas se sancionará como falta grave.</w:t>
      </w:r>
    </w:p>
    <w:p>
      <w:pPr>
        <w:pStyle w:val="ListParagraph"/>
        <w:numPr>
          <w:ilvl w:val="0"/>
          <w:numId w:val="1"/>
        </w:numPr>
        <w:spacing w:line="276"/>
        <w:jc w:val="left"/>
      </w:pPr>
      <w:r>
        <w:rPr>
          <w:rFonts w:ascii="Calibri" w:cs="Calibri" w:eastAsia="Calibri" w:hAnsi="Calibri"/>
          <w:b/>
          <w:bCs/>
          <w:color w:val="333333"/>
          <w:sz w:val="20"/>
          <w:szCs w:val="20"/>
        </w:rPr>
        <w:t xml:space="preserve">Emergencia:</w:t>
      </w:r>
      <w:r>
        <w:rPr>
          <w:rFonts w:ascii="Calibri" w:cs="Calibri" w:eastAsia="Calibri" w:hAnsi="Calibri"/>
          <w:b w:val="false"/>
          <w:bCs w:val="false"/>
          <w:color w:val="333333"/>
          <w:sz w:val="20"/>
          <w:szCs w:val="20"/>
        </w:rPr>
        <w:t xml:space="preserve"> Ante una sospecha de compromiso masivo, el Oficial de Seguridad tiene la facultad de invalidar todas las contraseñas activas y forzar un cambio global.</w:t>
      </w:r>
    </w:p>
    <w:p>
      <w:pPr>
        <w:spacing w:after="120" w:before="0" w:line="276"/>
        <w:jc w:val="left"/>
      </w:pPr>
      <w:r>
        <w:rPr>
          <w:rFonts w:ascii="Calibri" w:cs="Calibri" w:eastAsia="Calibri" w:hAnsi="Calibri"/>
          <w:b w:val="false"/>
          <w:bCs w:val="false"/>
          <w:color w:val="333333"/>
          <w:sz w:val="20"/>
          <w:szCs w:val="20"/>
        </w:rPr>
        <w:t xml:space="preserve">El incumplimiento de los lineamientos establecidos en esta política será sujeto a sanciones conforme a la normativa interna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y la gravedad de la falta:</w:t>
      </w:r>
    </w:p>
    <w:p>
      <w:pPr>
        <w:spacing w:after="120" w:before="0" w:line="276"/>
        <w:jc w:val="left"/>
      </w:pPr>
      <w:r>
        <w:rPr>
          <w:rFonts w:ascii="Calibri" w:cs="Calibri" w:eastAsia="Calibri" w:hAnsi="Calibri"/>
          <w:b/>
          <w:bCs/>
          <w:color w:val="333333"/>
          <w:sz w:val="20"/>
          <w:szCs w:val="20"/>
        </w:rPr>
        <w:t xml:space="preserve">Faltas Leves </w:t>
      </w:r>
      <w:r>
        <w:rPr>
          <w:rFonts w:ascii="Calibri" w:cs="Calibri" w:eastAsia="Calibri" w:hAnsi="Calibri"/>
          <w:b w:val="false"/>
          <w:bCs w:val="false"/>
          <w:color w:val="333333"/>
          <w:sz w:val="20"/>
          <w:szCs w:val="20"/>
        </w:rPr>
        <w:t xml:space="preserve">(Ej. Omisión de lectura de boletines de seguridad): Amonestación verbal y re-capacitación inmediata sobre la importancia de la inteligencia de amenazas.</w:t>
      </w:r>
    </w:p>
    <w:p>
      <w:pPr>
        <w:spacing w:after="120" w:before="0" w:line="276"/>
        <w:jc w:val="left"/>
      </w:pPr>
      <w:r>
        <w:rPr>
          <w:rFonts w:ascii="Calibri" w:cs="Calibri" w:eastAsia="Calibri" w:hAnsi="Calibri"/>
          <w:b/>
          <w:bCs/>
          <w:color w:val="333333"/>
          <w:sz w:val="20"/>
          <w:szCs w:val="20"/>
        </w:rPr>
        <w:t xml:space="preserve">Faltas Graves</w:t>
      </w:r>
      <w:r>
        <w:rPr>
          <w:rFonts w:ascii="Calibri" w:cs="Calibri" w:eastAsia="Calibri" w:hAnsi="Calibri"/>
          <w:b w:val="false"/>
          <w:bCs w:val="false"/>
          <w:color w:val="333333"/>
          <w:sz w:val="20"/>
          <w:szCs w:val="20"/>
        </w:rPr>
        <w:t xml:space="preserve"> (Ej. Permitir la expiración de suscripciones críticas o no reportar una alerta de vulnerabilidad detectada en los boletines): Amonestación por escrito con copia al expediente laboral y posible suspensión de funciones relacionadas con la administración de sistemas.</w:t>
      </w:r>
    </w:p>
    <w:p>
      <w:pPr>
        <w:spacing w:after="120" w:before="0" w:line="276"/>
        <w:jc w:val="left"/>
      </w:pPr>
      <w:r>
        <w:rPr>
          <w:rFonts w:ascii="Calibri" w:cs="Calibri" w:eastAsia="Calibri" w:hAnsi="Calibri"/>
          <w:b/>
          <w:bCs/>
          <w:color w:val="333333"/>
          <w:sz w:val="20"/>
          <w:szCs w:val="20"/>
        </w:rPr>
        <w:t xml:space="preserve">Faltas Críticas</w:t>
      </w:r>
      <w:r>
        <w:rPr>
          <w:rFonts w:ascii="Calibri" w:cs="Calibri" w:eastAsia="Calibri" w:hAnsi="Calibri"/>
          <w:b w:val="false"/>
          <w:bCs w:val="false"/>
          <w:color w:val="333333"/>
          <w:sz w:val="20"/>
          <w:szCs w:val="20"/>
        </w:rPr>
        <w:t xml:space="preserve"> (Ej. Omisión deliberada que resulte en la materialización de un riesgo por no seguir las alertas de los grupos de interés): Terminación de la relación contractual, sin perjuicio de las acciones legales que correspondan por poner en riesgo la confidencialidad de la información de los contribuyentes.</w:t>
      </w:r>
    </w:p>
    <w:p>
      <w:r>
        <w:t xml:space="preserve"> </w:t>
      </w:r>
    </w:p>
    <w:p>
      <w:pPr>
        <w:pStyle w:val="Heading1"/>
        <w:pBdr>
          <w:bottom w:val="single" w:color="D9D9D9" w:sz="4" w:space="8"/>
        </w:pBdr>
        <w:spacing w:after="200" w:before="400" w:line="240"/>
      </w:pPr>
      <w:bookmarkStart w:name="section_9_periodicidad_de_revision" w:id="1"/>
      <w:r>
        <w:t xml:space="preserve"/>
      </w:r>
      <w:bookmarkEnd w:id="1"/>
      <w:r>
        <w:rPr>
          <w:rFonts w:ascii="Calibri" w:cs="Calibri" w:eastAsia="Calibri" w:hAnsi="Calibri"/>
          <w:b/>
          <w:bCs/>
          <w:color w:val="000000"/>
          <w:sz w:val="28"/>
          <w:szCs w:val="28"/>
        </w:rPr>
        <w:t xml:space="preserve">10.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0_glosario" w:id="1"/>
      <w:r>
        <w:rPr>
          <w:rFonts w:ascii="Calibri" w:cs="Calibri" w:eastAsia="Calibri" w:hAnsi="Calibri"/>
          <w:b/>
          <w:bCs/>
          <w:color w:val="000000"/>
          <w:sz w:val="28"/>
          <w:szCs w:val="28"/>
        </w:rPr>
        <w:t xml:space="preserve">11.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PO-SF-011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uso de contraseñas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PO-SF-011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uso de contraseñas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uso de contraseas</dc:title>
  <dc:subject>Poltica</dc:subject>
  <dc:creator>Administrador MAPLINKS</dc:creator>
  <cp:keywords>PO-SF-011</cp:keywords>
  <dc:description>Documento PO-SF-011</dc:description>
  <cp:lastModifiedBy>Administrador MAPLINKS</cp:lastModifiedBy>
  <cp:revision>1</cp:revision>
  <dcterms:created xsi:type="dcterms:W3CDTF">2026-09-30T21:33:29.939Z</dcterms:created>
  <dcterms:modified xsi:type="dcterms:W3CDTF">2026-09-30T21:33:29.939Z</dcterms:modified>
</cp:coreProperties>
</file>

<file path=docProps/custom.xml><?xml version="1.0" encoding="utf-8"?>
<Properties xmlns="http://schemas.openxmlformats.org/officeDocument/2006/custom-properties" xmlns:vt="http://schemas.openxmlformats.org/officeDocument/2006/docPropsVTypes"/>
</file>