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8/4/2026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7/4/2026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el procedimiento para el registro e inhabilitación de cuentas de usuario es el conjunto de actividades, controles, validaciones y evidencias documentales mediante los cuales la empresa crea, habilita, modifica, suspende, deshabilita o elimina cuentas de usuario en los sistemas, redes y servicios de red relacionados con la operación del monedero electrónico, asegurando que dichos accesos correspondan únicamente a personal autorizado y vigente conforme a sus actividades, roles y responsabilidades.</w:t>
      </w:r>
    </w:p>
    <w:p>
      <w:pPr>
        <w:spacing w:after="120" w:before="0" w:line="276"/>
        <w:jc w:val="both"/>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entiende que este control tiene por finalidad evitar accesos no autorizados, uso indebido de cuentas, permanencia de privilegios innecesarios, exposición de información de contribuyentes y riesgos operativos en los entornos tecnológicos asociados al monedero electrónico.</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Establecer el proceso formal que debe seguir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para: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Registrar nuevas cuentas de usuario;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Modificar cuentas existentes;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Suspender o inhabilitar cuentas de usuario;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Conservar evidencia de cada movimiento;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Asegurar que los accesos en sistemas, redes y servicios de red sean congruentes con el puesto, vigencia laboral y responsabilidades autorizadas.</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presente procedimiento aplica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empleados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Personal temporal, prestadores de servicios y terceros autorizados, cuando tengan acceso a sistemas o activos tecnológicos;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Todas las cuentas de usuario vinculadas con sistemas, redes y servicios de red relacionados con la actividad del monedero electrónico;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Accesos a correo institucional, VPN, plataformas en la nube, aplicativos internos, consolas administrativas, servicios de autenticación, redes cableadas o inalámbricas, directorios, repositorios, bases de datos y cualquier otro servicio tecnológico relacionado con la operación.</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FO-SF-047 — FO-SF-0047_Solicitud_alta_cuenta_usuario_SENDERO_FUEL (1).docx</w:t>
      </w:r>
    </w:p>
    <w:p>
      <w:pPr>
        <w:spacing w:after="60" w:before="60" w:line="276"/>
      </w:pPr>
      <w:r>
        <w:rPr>
          <w:rFonts w:ascii="Calibri" w:cs="Calibri" w:eastAsia="Calibri" w:hAnsi="Calibri"/>
          <w:b w:val="false"/>
          <w:bCs w:val="false"/>
          <w:color w:val="333333"/>
          <w:sz w:val="20"/>
          <w:szCs w:val="20"/>
        </w:rPr>
        <w:t xml:space="preserve">• FO-SF-048 — FO-SF-0048_Solicitud_modificacion_cuenta_usuario_SENDERO_FUEL.docx</w:t>
      </w:r>
    </w:p>
    <w:p>
      <w:pPr>
        <w:spacing w:after="60" w:before="60" w:line="276"/>
      </w:pPr>
      <w:r>
        <w:rPr>
          <w:rFonts w:ascii="Calibri" w:cs="Calibri" w:eastAsia="Calibri" w:hAnsi="Calibri"/>
          <w:b w:val="false"/>
          <w:bCs w:val="false"/>
          <w:color w:val="333333"/>
          <w:sz w:val="20"/>
          <w:szCs w:val="20"/>
        </w:rPr>
        <w:t xml:space="preserve">• FO-SF-049 — FO-SF-0049_Solicitud_inhabilitacion_baja_cuenta_usuario_SENDERO_FUEL.docx</w:t>
      </w:r>
    </w:p>
    <w:p>
      <w:pPr>
        <w:spacing w:after="60" w:before="60" w:line="276"/>
      </w:pPr>
      <w:r>
        <w:rPr>
          <w:rFonts w:ascii="Calibri" w:cs="Calibri" w:eastAsia="Calibri" w:hAnsi="Calibri"/>
          <w:b w:val="false"/>
          <w:bCs w:val="false"/>
          <w:color w:val="333333"/>
          <w:sz w:val="20"/>
          <w:szCs w:val="20"/>
        </w:rPr>
        <w:t xml:space="preserve">• FO-SF-050 — FO-SF-0050_Registro_maestro_cuentas_usuario_SENDERO_FUEL.docx</w:t>
      </w:r>
    </w:p>
    <w:p>
      <w:pPr>
        <w:spacing w:after="60" w:before="60" w:line="276"/>
      </w:pPr>
      <w:r>
        <w:rPr>
          <w:rFonts w:ascii="Calibri" w:cs="Calibri" w:eastAsia="Calibri" w:hAnsi="Calibri"/>
          <w:b w:val="false"/>
          <w:bCs w:val="false"/>
          <w:color w:val="333333"/>
          <w:sz w:val="20"/>
          <w:szCs w:val="20"/>
        </w:rPr>
        <w:t xml:space="preserve">• FO-SF-051 — FO-SF-0051_Bitacora_revision_cuentas_inactivas_huerfanas_inconsistentes_SENDERO_FUEL.docx</w:t>
      </w:r>
    </w:p>
    <w:p>
      <w:pPr>
        <w:spacing w:after="60" w:before="60" w:line="276"/>
      </w:pPr>
      <w:r>
        <w:rPr>
          <w:rFonts w:ascii="Calibri" w:cs="Calibri" w:eastAsia="Calibri" w:hAnsi="Calibri"/>
          <w:b w:val="false"/>
          <w:bCs w:val="false"/>
          <w:color w:val="333333"/>
          <w:sz w:val="20"/>
          <w:szCs w:val="20"/>
        </w:rPr>
        <w:t xml:space="preserve">• FO-SF-052 — FO-SF-0052_Autorizacion_acceso_por_sistema_o_servicio_SENDERO_FUEL.docx</w:t>
      </w:r>
    </w:p>
    <w:p>
      <w:pPr>
        <w:spacing w:after="60" w:before="60" w:line="276"/>
      </w:pPr>
      <w:r>
        <w:rPr>
          <w:rFonts w:ascii="Calibri" w:cs="Calibri" w:eastAsia="Calibri" w:hAnsi="Calibri"/>
          <w:b w:val="false"/>
          <w:bCs w:val="false"/>
          <w:color w:val="333333"/>
          <w:sz w:val="20"/>
          <w:szCs w:val="20"/>
        </w:rPr>
        <w:t xml:space="preserve">• FO-SF-053 — FO-SF-0053_Constancia_ejecucion_tecnica_movimientos_cuenta_SENDERO_FUEL.docx</w:t>
      </w:r>
    </w:p>
    <w:p>
      <w:pPr>
        <w:spacing w:after="60" w:before="60" w:line="276"/>
      </w:pPr>
      <w:r>
        <w:rPr>
          <w:rFonts w:ascii="Calibri" w:cs="Calibri" w:eastAsia="Calibri" w:hAnsi="Calibri"/>
          <w:b w:val="false"/>
          <w:bCs w:val="false"/>
          <w:color w:val="333333"/>
          <w:sz w:val="20"/>
          <w:szCs w:val="20"/>
        </w:rPr>
        <w:t xml:space="preserve">• req_23_PR_SF_011.pdf</w:t>
      </w:r>
    </w:p>
    <w:p>
      <w:pPr>
        <w:spacing w:after="60" w:before="60" w:line="276"/>
      </w:pPr>
      <w:r>
        <w:rPr>
          <w:rFonts w:ascii="Calibri" w:cs="Calibri" w:eastAsia="Calibri" w:hAnsi="Calibri"/>
          <w:b w:val="false"/>
          <w:bCs w:val="false"/>
          <w:color w:val="333333"/>
          <w:sz w:val="20"/>
          <w:szCs w:val="20"/>
        </w:rPr>
        <w:t xml:space="preserve">• EV-SF-065 — ALEX.rar</w:t>
      </w:r>
    </w:p>
    <w:p>
      <w:pPr>
        <w:spacing w:after="60" w:before="60" w:line="276"/>
      </w:pPr>
      <w:r>
        <w:rPr>
          <w:rFonts w:ascii="Calibri" w:cs="Calibri" w:eastAsia="Calibri" w:hAnsi="Calibri"/>
          <w:b w:val="false"/>
          <w:bCs w:val="false"/>
          <w:color w:val="333333"/>
          <w:sz w:val="20"/>
          <w:szCs w:val="20"/>
        </w:rPr>
        <w:t xml:space="preserve">• EV-SF-066 — ANA MARIA.rar</w:t>
      </w:r>
    </w:p>
    <w:p>
      <w:pPr>
        <w:spacing w:after="60" w:before="60" w:line="276"/>
      </w:pPr>
      <w:r>
        <w:rPr>
          <w:rFonts w:ascii="Calibri" w:cs="Calibri" w:eastAsia="Calibri" w:hAnsi="Calibri"/>
          <w:b w:val="false"/>
          <w:bCs w:val="false"/>
          <w:color w:val="333333"/>
          <w:sz w:val="20"/>
          <w:szCs w:val="20"/>
        </w:rPr>
        <w:t xml:space="preserve">• EV-SF-067 — ANDRES.rar</w:t>
      </w:r>
    </w:p>
    <w:p>
      <w:pPr>
        <w:spacing w:after="60" w:before="60" w:line="276"/>
      </w:pPr>
      <w:r>
        <w:rPr>
          <w:rFonts w:ascii="Calibri" w:cs="Calibri" w:eastAsia="Calibri" w:hAnsi="Calibri"/>
          <w:b w:val="false"/>
          <w:bCs w:val="false"/>
          <w:color w:val="333333"/>
          <w:sz w:val="20"/>
          <w:szCs w:val="20"/>
        </w:rPr>
        <w:t xml:space="preserve">• EV-SF-068 — AXEL.rar</w:t>
      </w:r>
    </w:p>
    <w:p>
      <w:pPr>
        <w:spacing w:after="60" w:before="60" w:line="276"/>
      </w:pPr>
      <w:r>
        <w:rPr>
          <w:rFonts w:ascii="Calibri" w:cs="Calibri" w:eastAsia="Calibri" w:hAnsi="Calibri"/>
          <w:b w:val="false"/>
          <w:bCs w:val="false"/>
          <w:color w:val="333333"/>
          <w:sz w:val="20"/>
          <w:szCs w:val="20"/>
        </w:rPr>
        <w:t xml:space="preserve">• EV-SF-069 — IVAN.rar</w:t>
      </w:r>
    </w:p>
    <w:p>
      <w:pPr>
        <w:spacing w:after="60" w:before="60" w:line="276"/>
      </w:pPr>
      <w:r>
        <w:rPr>
          <w:rFonts w:ascii="Calibri" w:cs="Calibri" w:eastAsia="Calibri" w:hAnsi="Calibri"/>
          <w:b w:val="false"/>
          <w:bCs w:val="false"/>
          <w:color w:val="333333"/>
          <w:sz w:val="20"/>
          <w:szCs w:val="20"/>
        </w:rPr>
        <w:t xml:space="preserve">• EV-SF-070 — JESSICA.rar</w:t>
      </w:r>
    </w:p>
    <w:p>
      <w:pPr>
        <w:spacing w:after="60" w:before="60" w:line="276"/>
      </w:pPr>
      <w:r>
        <w:rPr>
          <w:rFonts w:ascii="Calibri" w:cs="Calibri" w:eastAsia="Calibri" w:hAnsi="Calibri"/>
          <w:b w:val="false"/>
          <w:bCs w:val="false"/>
          <w:color w:val="333333"/>
          <w:sz w:val="20"/>
          <w:szCs w:val="20"/>
        </w:rPr>
        <w:t xml:space="preserve">• EV-SF-071 — RAMON.rar</w:t>
      </w:r>
    </w:p>
    <w:p>
      <w:pPr>
        <w:spacing w:after="60" w:before="60" w:line="276"/>
      </w:pPr>
      <w:r>
        <w:rPr>
          <w:rFonts w:ascii="Calibri" w:cs="Calibri" w:eastAsia="Calibri" w:hAnsi="Calibri"/>
          <w:b w:val="false"/>
          <w:bCs w:val="false"/>
          <w:color w:val="333333"/>
          <w:sz w:val="20"/>
          <w:szCs w:val="20"/>
        </w:rPr>
        <w:t xml:space="preserve">• EV-SF-072 — RAUL.rar</w:t>
      </w:r>
    </w:p>
    <w:p>
      <w:pPr>
        <w:spacing w:after="60" w:before="60" w:line="276"/>
      </w:pPr>
      <w:r>
        <w:rPr>
          <w:rFonts w:ascii="Calibri" w:cs="Calibri" w:eastAsia="Calibri" w:hAnsi="Calibri"/>
          <w:b w:val="false"/>
          <w:bCs w:val="false"/>
          <w:color w:val="333333"/>
          <w:sz w:val="20"/>
          <w:szCs w:val="20"/>
        </w:rPr>
        <w:t xml:space="preserve">• EV-SF-073 — RICARDO.rar</w:t>
      </w:r>
    </w:p>
    <w:p>
      <w:pPr>
        <w:spacing w:after="60" w:before="60" w:line="276"/>
      </w:pPr>
      <w:r>
        <w:rPr>
          <w:rFonts w:ascii="Calibri" w:cs="Calibri" w:eastAsia="Calibri" w:hAnsi="Calibri"/>
          <w:b w:val="false"/>
          <w:bCs w:val="false"/>
          <w:color w:val="333333"/>
          <w:sz w:val="20"/>
          <w:szCs w:val="20"/>
        </w:rPr>
        <w:t xml:space="preserve">• EV-SF-074 — ROMINA.rar</w:t>
      </w:r>
    </w:p>
    <w:p>
      <w:pPr>
        <w:spacing w:after="60" w:before="60" w:line="276"/>
      </w:pPr>
      <w:r>
        <w:rPr>
          <w:rFonts w:ascii="Calibri" w:cs="Calibri" w:eastAsia="Calibri" w:hAnsi="Calibri"/>
          <w:b w:val="false"/>
          <w:bCs w:val="false"/>
          <w:color w:val="333333"/>
          <w:sz w:val="20"/>
          <w:szCs w:val="20"/>
        </w:rPr>
        <w:t xml:space="preserve">• EV-SF-075 — TERESA.rar</w:t>
      </w:r>
    </w:p>
    <w:p>
      <w:pPr>
        <w:spacing w:after="60" w:before="60" w:line="276"/>
      </w:pPr>
      <w:r>
        <w:rPr>
          <w:rFonts w:ascii="Calibri" w:cs="Calibri" w:eastAsia="Calibri" w:hAnsi="Calibri"/>
          <w:b w:val="false"/>
          <w:bCs w:val="false"/>
          <w:color w:val="333333"/>
          <w:sz w:val="20"/>
          <w:szCs w:val="20"/>
        </w:rPr>
        <w:t xml:space="preserve">• EV-SF-076 — VALERIA.rar</w:t>
      </w:r>
    </w:p>
    <w:p>
      <w:pPr>
        <w:spacing w:after="60" w:before="60" w:line="276"/>
      </w:pPr>
      <w:r>
        <w:rPr>
          <w:rFonts w:ascii="Calibri" w:cs="Calibri" w:eastAsia="Calibri" w:hAnsi="Calibri"/>
          <w:b w:val="false"/>
          <w:bCs w:val="false"/>
          <w:color w:val="333333"/>
          <w:sz w:val="20"/>
          <w:szCs w:val="20"/>
        </w:rPr>
        <w:t xml:space="preserve">• EV-SF-077 — VICTOR GARAY.rar</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Dirección General</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·Aprobar el presente procedimiento.</w:t>
            </w:r>
          </w:p>
          <w:p>
            <w:pPr>
              <w:jc w:val="left"/>
            </w:pPr>
            <w:r>
              <w:rPr>
                <w:rFonts w:ascii="Calibri" w:cs="Calibri" w:eastAsia="Calibri" w:hAnsi="Calibri"/>
                <w:b w:val="false"/>
                <w:bCs w:val="false"/>
                <w:color w:val="333333"/>
                <w:sz w:val="18"/>
                <w:szCs w:val="18"/>
              </w:rPr>
              <w:t xml:space="preserve">·Autorizar excepciones de alto riesgo, cuando proceda.</w:t>
            </w:r>
          </w:p>
          <w:p>
            <w:pPr>
              <w:jc w:val="left"/>
            </w:pPr>
            <w:r>
              <w:rPr>
                <w:rFonts w:ascii="Calibri" w:cs="Calibri" w:eastAsia="Calibri" w:hAnsi="Calibri"/>
                <w:b w:val="false"/>
                <w:bCs w:val="false"/>
                <w:color w:val="333333"/>
                <w:sz w:val="18"/>
                <w:szCs w:val="18"/>
              </w:rPr>
              <w:t xml:space="preserve">·Asegurar que las áreas responsables apliquen el control.</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Recursos Humanos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·Notificar oportunamente altas, bajas y cambios de puesto.</w:t>
            </w:r>
          </w:p>
          <w:p>
            <w:pPr>
              <w:jc w:val="left"/>
            </w:pPr>
            <w:r>
              <w:rPr>
                <w:rFonts w:ascii="Calibri" w:cs="Calibri" w:eastAsia="Calibri" w:hAnsi="Calibri"/>
                <w:b w:val="false"/>
                <w:bCs w:val="false"/>
                <w:color w:val="333333"/>
                <w:sz w:val="18"/>
                <w:szCs w:val="18"/>
              </w:rPr>
              <w:t xml:space="preserve">·Confirmar vigencia de la relación laboral o contractual del usuario.</w:t>
            </w:r>
          </w:p>
          <w:p>
            <w:pPr>
              <w:jc w:val="left"/>
            </w:pPr>
            <w:r>
              <w:rPr>
                <w:rFonts w:ascii="Calibri" w:cs="Calibri" w:eastAsia="Calibri" w:hAnsi="Calibri"/>
                <w:b w:val="false"/>
                <w:bCs w:val="false"/>
                <w:color w:val="333333"/>
                <w:sz w:val="18"/>
                <w:szCs w:val="18"/>
              </w:rPr>
              <w:t xml:space="preserve">·Coordinar con TI y Seguridad de la Información la activación o inhabilitación de cuentas cuando corresponda.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Jefe inmediato / área usuaria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·Solicitar el alta, modificación o baja de la cuenta de usuario.</w:t>
            </w:r>
          </w:p>
          <w:p>
            <w:pPr>
              <w:jc w:val="left"/>
            </w:pPr>
            <w:r>
              <w:rPr>
                <w:rFonts w:ascii="Calibri" w:cs="Calibri" w:eastAsia="Calibri" w:hAnsi="Calibri"/>
                <w:b w:val="false"/>
                <w:bCs w:val="false"/>
                <w:color w:val="333333"/>
                <w:sz w:val="18"/>
                <w:szCs w:val="18"/>
              </w:rPr>
              <w:t xml:space="preserve">·Justificar el nivel de acceso requerido conforme al puesto.</w:t>
            </w:r>
          </w:p>
          <w:p>
            <w:pPr>
              <w:jc w:val="left"/>
            </w:pPr>
            <w:r>
              <w:rPr>
                <w:rFonts w:ascii="Calibri" w:cs="Calibri" w:eastAsia="Calibri" w:hAnsi="Calibri"/>
                <w:b w:val="false"/>
                <w:bCs w:val="false"/>
                <w:color w:val="333333"/>
                <w:sz w:val="18"/>
                <w:szCs w:val="18"/>
              </w:rPr>
              <w:t xml:space="preserve">·Validar que el acceso solicitado sea necesario para el desempeño de 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TI / Administradores de Sistemas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·Crear, habilitar, modificar, suspender o inhabilitar cuentas de usuario.</w:t>
            </w:r>
          </w:p>
          <w:p>
            <w:pPr>
              <w:jc w:val="left"/>
            </w:pPr>
            <w:r>
              <w:rPr>
                <w:rFonts w:ascii="Calibri" w:cs="Calibri" w:eastAsia="Calibri" w:hAnsi="Calibri"/>
                <w:b w:val="false"/>
                <w:bCs w:val="false"/>
                <w:color w:val="333333"/>
                <w:sz w:val="18"/>
                <w:szCs w:val="18"/>
              </w:rPr>
              <w:t xml:space="preserve">·Ejecutar los cambios técnicos en sistemas, redes y servicios de red.</w:t>
            </w:r>
          </w:p>
          <w:p>
            <w:pPr>
              <w:jc w:val="left"/>
            </w:pPr>
            <w:r>
              <w:rPr>
                <w:rFonts w:ascii="Calibri" w:cs="Calibri" w:eastAsia="Calibri" w:hAnsi="Calibri"/>
                <w:b w:val="false"/>
                <w:bCs w:val="false"/>
                <w:color w:val="333333"/>
                <w:sz w:val="18"/>
                <w:szCs w:val="18"/>
              </w:rPr>
              <w:t xml:space="preserve">·Mantener evidencia técnica de cada movimiento realizado.</w:t>
            </w:r>
          </w:p>
          <w:p>
            <w:pPr>
              <w:jc w:val="left"/>
            </w:pPr>
            <w:r>
              <w:rPr>
                <w:rFonts w:ascii="Calibri" w:cs="Calibri" w:eastAsia="Calibri" w:hAnsi="Calibri"/>
                <w:b w:val="false"/>
                <w:bCs w:val="false"/>
                <w:color w:val="333333"/>
                <w:sz w:val="18"/>
                <w:szCs w:val="18"/>
              </w:rPr>
              <w:t xml:space="preserve">·Verificar unicidad, trazabilidad e integridad de las cuentas.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Control Interno / Cumplimiento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·Revisar que las cuentas y privilegios correspondan al perfil autorizado.</w:t>
            </w:r>
          </w:p>
          <w:p>
            <w:pPr>
              <w:jc w:val="left"/>
            </w:pPr>
            <w:r>
              <w:rPr>
                <w:rFonts w:ascii="Calibri" w:cs="Calibri" w:eastAsia="Calibri" w:hAnsi="Calibri"/>
                <w:b w:val="false"/>
                <w:bCs w:val="false"/>
                <w:color w:val="333333"/>
                <w:sz w:val="18"/>
                <w:szCs w:val="18"/>
              </w:rPr>
              <w:t xml:space="preserve">·Validar solicitudes de acceso para puestos sensibles o críticos.</w:t>
            </w:r>
          </w:p>
          <w:p>
            <w:pPr>
              <w:jc w:val="left"/>
            </w:pPr>
            <w:r>
              <w:rPr>
                <w:rFonts w:ascii="Calibri" w:cs="Calibri" w:eastAsia="Calibri" w:hAnsi="Calibri"/>
                <w:b w:val="false"/>
                <w:bCs w:val="false"/>
                <w:color w:val="333333"/>
                <w:sz w:val="18"/>
                <w:szCs w:val="18"/>
              </w:rPr>
              <w:t xml:space="preserve">·Dar seguimiento a cuentas inactivas, huérfanas, duplicadas o con riesgo.</w:t>
            </w:r>
          </w:p>
          <w:p>
            <w:pPr>
              <w:jc w:val="left"/>
            </w:pPr>
            <w:r>
              <w:rPr>
                <w:rFonts w:ascii="Calibri" w:cs="Calibri" w:eastAsia="Calibri" w:hAnsi="Calibri"/>
                <w:b w:val="false"/>
                <w:bCs w:val="false"/>
                <w:color w:val="333333"/>
                <w:sz w:val="18"/>
                <w:szCs w:val="18"/>
              </w:rPr>
              <w:t xml:space="preserve">·Escalar desviaciones de control.</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Empleado / usuario saliente o transferido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·Hacer uso de la cuenta exclusivamente para actividades autorizadas.</w:t>
            </w:r>
          </w:p>
          <w:p>
            <w:pPr>
              <w:jc w:val="left"/>
            </w:pPr>
            <w:r>
              <w:rPr>
                <w:rFonts w:ascii="Calibri" w:cs="Calibri" w:eastAsia="Calibri" w:hAnsi="Calibri"/>
                <w:b w:val="false"/>
                <w:bCs w:val="false"/>
                <w:color w:val="333333"/>
                <w:sz w:val="18"/>
                <w:szCs w:val="18"/>
              </w:rPr>
              <w:t xml:space="preserve">·Proteger su información de autenticación.</w:t>
            </w:r>
          </w:p>
          <w:p>
            <w:pPr>
              <w:jc w:val="left"/>
            </w:pPr>
            <w:r>
              <w:rPr>
                <w:rFonts w:ascii="Calibri" w:cs="Calibri" w:eastAsia="Calibri" w:hAnsi="Calibri"/>
                <w:b w:val="false"/>
                <w:bCs w:val="false"/>
                <w:color w:val="333333"/>
                <w:sz w:val="18"/>
                <w:szCs w:val="18"/>
              </w:rPr>
              <w:t xml:space="preserve">·Reportar incidentes, accesos no reconocidos o problemas con su cuenta.</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principios_del_procedimiento" w:id="1"/>
      <w:r>
        <w:t xml:space="preserve"/>
      </w:r>
      <w:bookmarkEnd w:id="1"/>
      <w:r>
        <w:rPr>
          <w:rFonts w:ascii="Calibri" w:cs="Calibri" w:eastAsia="Calibri" w:hAnsi="Calibri"/>
          <w:b/>
          <w:bCs/>
          <w:color w:val="000000"/>
          <w:sz w:val="28"/>
          <w:szCs w:val="28"/>
        </w:rPr>
        <w:t xml:space="preserve">7. PRINCIPIOS DEL PROCEDIMIENTO</w:t>
      </w:r>
    </w:p>
    <w:p>
      <w:r>
        <w:rPr>
          <w:sz w:val="2"/>
          <w:szCs w:val="2"/>
        </w:rPr>
        <w:t xml:space="preserve"/>
      </w:r>
    </w:p>
    <w:p>
      <w:pPr>
        <w:spacing w:after="120" w:before="0" w:line="276"/>
        <w:jc w:val="left"/>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aplicará este procedimiento bajo los siguientes principios: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Necesidad de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Menor privilegio;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Trazabilidad;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Segregación de funciones;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Oportunidad;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Unicidad del usuario;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oportuna;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Evidencia documental suficiente.</w:t>
      </w:r>
    </w:p>
    <w:p>
      <w:r>
        <w:t xml:space="preserve"> </w:t>
      </w:r>
    </w:p>
    <w:p>
      <w:pPr>
        <w:pStyle w:val="Heading1"/>
        <w:pBdr>
          <w:bottom w:val="single" w:color="D9D9D9" w:sz="4" w:space="8"/>
        </w:pBdr>
        <w:spacing w:after="200" w:before="400" w:line="240"/>
      </w:pPr>
      <w:bookmarkStart w:name="section_7_supuestos_de_aplicacion" w:id="1"/>
      <w:r>
        <w:t xml:space="preserve"/>
      </w:r>
      <w:bookmarkEnd w:id="1"/>
      <w:r>
        <w:rPr>
          <w:rFonts w:ascii="Calibri" w:cs="Calibri" w:eastAsia="Calibri" w:hAnsi="Calibri"/>
          <w:b/>
          <w:bCs/>
          <w:color w:val="000000"/>
          <w:sz w:val="28"/>
          <w:szCs w:val="28"/>
        </w:rPr>
        <w:t xml:space="preserve">8. SUPUESTOS DE APLICACIÓN</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Este procedimiento deberá activarse en cualquiera de los siguientes supuestos: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Alta de personal;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Incorporación de tercero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 de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 de 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Modificación de funciones;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Asignación temporal de responsabilidades;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Terminación de la relación contractual;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Suspensión laboral o administrativa;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Detección de riesgo, incidente o uso indebido;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Inactividad prolongada de la cuenta;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Duplicidad o inconsistencia detectada.</w:t>
      </w:r>
    </w:p>
    <w:p>
      <w:r>
        <w:t xml:space="preserve"> </w:t>
      </w:r>
    </w:p>
    <w:p>
      <w:pPr>
        <w:pStyle w:val="Heading1"/>
        <w:pBdr>
          <w:bottom w:val="single" w:color="D9D9D9" w:sz="4" w:space="8"/>
        </w:pBdr>
        <w:spacing w:after="200" w:before="400" w:line="240"/>
      </w:pPr>
      <w:bookmarkStart w:name="section_8_desarrollo_del_procedimiento" w:id="1"/>
      <w:r>
        <w:t xml:space="preserve"/>
      </w:r>
      <w:bookmarkEnd w:id="1"/>
      <w:r>
        <w:rPr>
          <w:rFonts w:ascii="Calibri" w:cs="Calibri" w:eastAsia="Calibri" w:hAnsi="Calibri"/>
          <w:b/>
          <w:bCs/>
          <w:color w:val="000000"/>
          <w:sz w:val="28"/>
          <w:szCs w:val="28"/>
        </w:rPr>
        <w:t xml:space="preserve">9. DESARROLLO DEL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Solicitud de registro de cuenta</w:t>
      </w:r>
    </w:p>
    <w:p>
      <w:pPr>
        <w:spacing w:after="120" w:before="0" w:line="276"/>
        <w:jc w:val="left"/>
      </w:pPr>
      <w:r>
        <w:rPr>
          <w:rFonts w:ascii="Calibri" w:cs="Calibri" w:eastAsia="Calibri" w:hAnsi="Calibri"/>
          <w:b w:val="false"/>
          <w:bCs w:val="false"/>
          <w:color w:val="333333"/>
          <w:sz w:val="20"/>
          <w:szCs w:val="20"/>
        </w:rPr>
        <w:t xml:space="preserve">Toda creación de cuenta deberá originarse en una solicitud formal del área solicitante o de Recursos Humanos, la cual deberá contener al menos: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completo del usuario;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Jefe inmediato;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Sistemas o servicios requeridos;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Tipo de acceso requerido;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inicio de vigencia;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Justificación del acceso.</w:t>
      </w:r>
    </w:p>
    <w:p>
      <w:pPr>
        <w:spacing w:after="120" w:before="0" w:line="276"/>
        <w:jc w:val="left"/>
      </w:pPr>
      <w:r>
        <w:rPr>
          <w:rFonts w:ascii="Calibri" w:cs="Calibri" w:eastAsia="Calibri" w:hAnsi="Calibri"/>
          <w:b w:val="false"/>
          <w:bCs w:val="false"/>
          <w:color w:val="333333"/>
          <w:sz w:val="20"/>
          <w:szCs w:val="20"/>
        </w:rPr>
        <w:t xml:space="preserve">No se crearán cuentas sin solicitud formal ni sin validación del puesto y necesidad operativa.</w:t>
      </w:r>
    </w:p>
    <w:p>
      <w:pPr>
        <w:pStyle w:val="Heading2"/>
        <w:spacing w:after="200" w:before="400" w:line="240"/>
        <w:jc w:val="left"/>
      </w:pPr>
      <w:r>
        <w:rPr>
          <w:rFonts w:ascii="Calibri" w:cs="Calibri" w:eastAsia="Calibri" w:hAnsi="Calibri"/>
          <w:b/>
          <w:bCs/>
          <w:color w:val="000000"/>
          <w:sz w:val="20"/>
          <w:szCs w:val="20"/>
        </w:rPr>
        <w:t xml:space="preserve">Validación de la solicitud</w:t>
      </w:r>
    </w:p>
    <w:p>
      <w:pPr>
        <w:spacing w:after="120" w:before="0" w:line="276"/>
        <w:jc w:val="left"/>
      </w:pPr>
      <w:r>
        <w:rPr>
          <w:rFonts w:ascii="Calibri" w:cs="Calibri" w:eastAsia="Calibri" w:hAnsi="Calibri"/>
          <w:b w:val="false"/>
          <w:bCs w:val="false"/>
          <w:color w:val="333333"/>
          <w:sz w:val="20"/>
          <w:szCs w:val="20"/>
        </w:rPr>
        <w:t xml:space="preserve">Antes del registro, TI y/o Seguridad de la Información validarán: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Identidad del usuario;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Existencia de relación laboral o contractual vigente;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Congruencia entre acceso solicitado y funciones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Inexistencia de una cuenta previa activa incompatible o duplicada;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Criticidad del puesto y riesgos asociados.</w:t>
      </w:r>
    </w:p>
    <w:p>
      <w:pPr>
        <w:spacing w:after="120" w:before="0" w:line="276"/>
        <w:jc w:val="left"/>
      </w:pPr>
      <w:r>
        <w:rPr>
          <w:rFonts w:ascii="Calibri" w:cs="Calibri" w:eastAsia="Calibri" w:hAnsi="Calibri"/>
          <w:b w:val="false"/>
          <w:bCs w:val="false"/>
          <w:color w:val="333333"/>
          <w:sz w:val="20"/>
          <w:szCs w:val="20"/>
        </w:rPr>
        <w:t xml:space="preserve">Cuando se trate de puestos sensibles o críticos, Seguridad de la Información podrá requerir validación adicional antes de autorizar la creación.</w:t>
      </w:r>
    </w:p>
    <w:p>
      <w:pPr>
        <w:pStyle w:val="Heading2"/>
        <w:spacing w:after="200" w:before="400" w:line="240"/>
        <w:jc w:val="left"/>
      </w:pPr>
      <w:r>
        <w:rPr>
          <w:rFonts w:ascii="Calibri" w:cs="Calibri" w:eastAsia="Calibri" w:hAnsi="Calibri"/>
          <w:b/>
          <w:bCs/>
          <w:color w:val="000000"/>
          <w:sz w:val="20"/>
          <w:szCs w:val="20"/>
        </w:rPr>
        <w:t xml:space="preserve">Registro de la cuenta</w:t>
      </w:r>
    </w:p>
    <w:p>
      <w:pPr>
        <w:spacing w:after="120" w:before="0" w:line="276"/>
        <w:jc w:val="left"/>
      </w:pPr>
      <w:r>
        <w:rPr>
          <w:rFonts w:ascii="Calibri" w:cs="Calibri" w:eastAsia="Calibri" w:hAnsi="Calibri"/>
          <w:b w:val="false"/>
          <w:bCs w:val="false"/>
          <w:color w:val="333333"/>
          <w:sz w:val="20"/>
          <w:szCs w:val="20"/>
        </w:rPr>
        <w:t xml:space="preserve">Una vez autorizada la solicitud, TI o el administrador del sistema procederá al registro de la cuenta conforme a los controles definidos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procurando 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identificador de usuario sea único;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cuenta quede asociada a una persona identificable;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perfil inicial corresponda al nivel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registre la fecha de creación;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documente quién ejecutó el alta;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cuenta quede incluida en el inventario o padrón de cuentas administradas.</w:t>
      </w:r>
    </w:p>
    <w:p>
      <w:pPr>
        <w:pStyle w:val="Heading2"/>
        <w:spacing w:after="200" w:before="400" w:line="240"/>
        <w:jc w:val="left"/>
      </w:pPr>
      <w:r>
        <w:rPr>
          <w:rFonts w:ascii="Calibri" w:cs="Calibri" w:eastAsia="Calibri" w:hAnsi="Calibri"/>
          <w:b/>
          <w:bCs/>
          <w:color w:val="000000"/>
          <w:sz w:val="20"/>
          <w:szCs w:val="20"/>
        </w:rPr>
        <w:t xml:space="preserve">Asignación inicial y comunicación</w:t>
      </w:r>
    </w:p>
    <w:p>
      <w:pPr>
        <w:spacing w:after="120" w:before="0" w:line="276"/>
        <w:jc w:val="left"/>
      </w:pPr>
      <w:r>
        <w:rPr>
          <w:rFonts w:ascii="Calibri" w:cs="Calibri" w:eastAsia="Calibri" w:hAnsi="Calibri"/>
          <w:b w:val="false"/>
          <w:bCs w:val="false"/>
          <w:color w:val="333333"/>
          <w:sz w:val="20"/>
          <w:szCs w:val="20"/>
        </w:rPr>
        <w:t xml:space="preserve">Después del registro, la cuenta podrá ser habilitada para su uso únicamente cuando: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usuario haya sido formalmente dado de alta en la organización o autorizado como tercero;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Exista comunicación de responsabilidades aplicables;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hayan definido los mecanismos de entrega de autenticación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acceso quede ilimitado al alcance autorizado</w:t>
      </w:r>
    </w:p>
    <w:p>
      <w:pPr>
        <w:pStyle w:val="Heading2"/>
        <w:spacing w:after="200" w:before="400" w:line="240"/>
        <w:jc w:val="left"/>
      </w:pPr>
      <w:r>
        <w:rPr>
          <w:rFonts w:ascii="Calibri" w:cs="Calibri" w:eastAsia="Calibri" w:hAnsi="Calibri"/>
          <w:b/>
          <w:bCs/>
          <w:color w:val="000000"/>
          <w:sz w:val="20"/>
          <w:szCs w:val="20"/>
        </w:rPr>
        <w:t xml:space="preserve">Modificación de cuentas</w:t>
      </w:r>
    </w:p>
    <w:p>
      <w:pPr>
        <w:spacing w:after="120" w:before="0" w:line="276"/>
        <w:jc w:val="left"/>
      </w:pPr>
      <w:r>
        <w:rPr>
          <w:rFonts w:ascii="Calibri" w:cs="Calibri" w:eastAsia="Calibri" w:hAnsi="Calibri"/>
          <w:b w:val="false"/>
          <w:bCs w:val="false"/>
          <w:color w:val="333333"/>
          <w:sz w:val="20"/>
          <w:szCs w:val="20"/>
        </w:rPr>
        <w:t xml:space="preserve">Cuando un usuario cambie de área, puesto, funciones o responsabilidades, el jefe inmediato o Recursos Humanos deberán solicitar la modificación de la cuenta. TI y Seguridad de la Información deberán revisar: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Permisos actuales;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Permisos que deben eliminarse;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Permisos nuevos que correspondan;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Aplicaciones o servicios que deban mantenerse o retirarse.</w:t>
      </w:r>
    </w:p>
    <w:p>
      <w:pPr>
        <w:spacing w:after="120" w:before="0" w:line="276"/>
        <w:jc w:val="left"/>
      </w:pPr>
      <w:r>
        <w:rPr>
          <w:rFonts w:ascii="Calibri" w:cs="Calibri" w:eastAsia="Calibri" w:hAnsi="Calibri"/>
          <w:b w:val="false"/>
          <w:bCs w:val="false"/>
          <w:color w:val="333333"/>
          <w:sz w:val="20"/>
          <w:szCs w:val="20"/>
        </w:rPr>
        <w:t xml:space="preserve">La modificación deberá quedar documentada con fecha, motivo y responsable de ejecución.</w:t>
      </w:r>
    </w:p>
    <w:p>
      <w:pPr>
        <w:pStyle w:val="Heading2"/>
        <w:spacing w:after="200" w:before="400" w:line="240"/>
        <w:jc w:val="left"/>
      </w:pPr>
      <w:r>
        <w:rPr>
          <w:rFonts w:ascii="Calibri" w:cs="Calibri" w:eastAsia="Calibri" w:hAnsi="Calibri"/>
          <w:b/>
          <w:bCs/>
          <w:color w:val="000000"/>
          <w:sz w:val="20"/>
          <w:szCs w:val="20"/>
        </w:rPr>
        <w:t xml:space="preserve">Inhabilitación de cuentas por baja o cambio de vigencia</w:t>
      </w:r>
    </w:p>
    <w:p>
      <w:pPr>
        <w:spacing w:after="120" w:before="0" w:line="276"/>
        <w:jc w:val="left"/>
      </w:pPr>
      <w:r>
        <w:rPr>
          <w:rFonts w:ascii="Calibri" w:cs="Calibri" w:eastAsia="Calibri" w:hAnsi="Calibri"/>
          <w:b w:val="false"/>
          <w:bCs w:val="false"/>
          <w:color w:val="333333"/>
          <w:sz w:val="20"/>
          <w:szCs w:val="20"/>
        </w:rPr>
        <w:t xml:space="preserve">Las cuentas deberán inhabilitarse cuando: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Termine la relación contractual;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Concluya la necesidad operativa que justificó el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usuario cambie de funciones y el acceso ya no corresponda;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Exista suspensión de actividades;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Exista incidente de seguridad o instrucción de contención;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detecte uso indebido o riesgo relevante;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trate de cuentas temporales cuya vigencia haya vencido.</w:t>
      </w:r>
    </w:p>
    <w:p>
      <w:pPr>
        <w:spacing w:after="120" w:before="0" w:line="276"/>
        <w:jc w:val="left"/>
      </w:pPr>
      <w:r>
        <w:rPr>
          <w:rFonts w:ascii="Calibri" w:cs="Calibri" w:eastAsia="Calibri" w:hAnsi="Calibri"/>
          <w:b w:val="false"/>
          <w:bCs w:val="false"/>
          <w:color w:val="333333"/>
          <w:sz w:val="20"/>
          <w:szCs w:val="20"/>
        </w:rPr>
        <w:t xml:space="preserve">La inhabilitación deberá ejecutarse de manera oportuna conforme a la fecha efectiva del evento, y de forma inmediata cuando el riesgo lo amerite.</w:t>
      </w:r>
    </w:p>
    <w:p>
      <w:pPr>
        <w:pStyle w:val="Heading2"/>
        <w:spacing w:after="200" w:before="400" w:line="240"/>
        <w:jc w:val="left"/>
      </w:pPr>
      <w:r>
        <w:rPr>
          <w:rFonts w:ascii="Calibri" w:cs="Calibri" w:eastAsia="Calibri" w:hAnsi="Calibri"/>
          <w:b/>
          <w:bCs/>
          <w:color w:val="000000"/>
          <w:sz w:val="20"/>
          <w:szCs w:val="20"/>
        </w:rPr>
        <w:t xml:space="preserve">Inhabilitación preventiva o de emergencia</w:t>
      </w:r>
    </w:p>
    <w:p>
      <w:pPr>
        <w:spacing w:after="120" w:before="0" w:line="276"/>
        <w:jc w:val="left"/>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podrá inhabilitar cuentas de forma preventiva o inmediata cuando exista: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Sospecha de compromiso de credenciales;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Incidente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 no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Incumplimiento grave de controles;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Orden de autoridad o instrucción interna de contención;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Necesidad de protección urgente de la información o continuidad operativa.</w:t>
      </w:r>
    </w:p>
    <w:p>
      <w:pPr>
        <w:spacing w:after="120" w:before="0" w:line="276"/>
        <w:jc w:val="left"/>
      </w:pPr>
      <w:r>
        <w:rPr>
          <w:rFonts w:ascii="Calibri" w:cs="Calibri" w:eastAsia="Calibri" w:hAnsi="Calibri"/>
          <w:b w:val="false"/>
          <w:bCs w:val="false"/>
          <w:color w:val="333333"/>
          <w:sz w:val="20"/>
          <w:szCs w:val="20"/>
        </w:rPr>
        <w:t xml:space="preserve">Toda inhabilitación de emergencia deberá documentarse y justificarse posteriormente.</w:t>
      </w:r>
    </w:p>
    <w:p>
      <w:pPr>
        <w:pStyle w:val="Heading2"/>
        <w:spacing w:after="200" w:before="400" w:line="240"/>
        <w:jc w:val="left"/>
      </w:pPr>
      <w:r>
        <w:rPr>
          <w:rFonts w:ascii="Calibri" w:cs="Calibri" w:eastAsia="Calibri" w:hAnsi="Calibri"/>
          <w:b/>
          <w:bCs/>
          <w:color w:val="000000"/>
          <w:sz w:val="20"/>
          <w:szCs w:val="20"/>
        </w:rPr>
        <w:t xml:space="preserve">Verificación posterior a la inhabilitación</w:t>
      </w:r>
    </w:p>
    <w:p>
      <w:pPr>
        <w:spacing w:after="120" w:before="0" w:line="276"/>
        <w:jc w:val="left"/>
      </w:pPr>
      <w:r>
        <w:rPr>
          <w:rFonts w:ascii="Calibri" w:cs="Calibri" w:eastAsia="Calibri" w:hAnsi="Calibri"/>
          <w:b w:val="false"/>
          <w:bCs w:val="false"/>
          <w:color w:val="333333"/>
          <w:sz w:val="20"/>
          <w:szCs w:val="20"/>
        </w:rPr>
        <w:t xml:space="preserve">Después de inhabilitar una cuenta, TI deberá verificar: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el usuario ya no pueda autenticarse;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no subsistan sesiones activas, cuando técnicamente proceda;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no permanezcan accesos indirectos asociados a la misma cuenta;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el cambio quede reflejado en los registros administrativos y técnicos.</w:t>
      </w:r>
    </w:p>
    <w:p>
      <w:pPr>
        <w:pStyle w:val="Heading2"/>
        <w:spacing w:after="200" w:before="400" w:line="240"/>
        <w:jc w:val="left"/>
      </w:pPr>
      <w:r>
        <w:rPr>
          <w:rFonts w:ascii="Calibri" w:cs="Calibri" w:eastAsia="Calibri" w:hAnsi="Calibri"/>
          <w:b/>
          <w:bCs/>
          <w:color w:val="000000"/>
          <w:sz w:val="20"/>
          <w:szCs w:val="20"/>
        </w:rPr>
        <w:t xml:space="preserve">Revisión de cuentas inactivas, huérfanas o inconsistentes</w:t>
      </w:r>
    </w:p>
    <w:p>
      <w:pPr>
        <w:spacing w:after="120" w:before="0" w:line="276"/>
        <w:jc w:val="left"/>
      </w:pPr>
      <w:r>
        <w:rPr>
          <w:rFonts w:ascii="Calibri" w:cs="Calibri" w:eastAsia="Calibri" w:hAnsi="Calibri"/>
          <w:b w:val="false"/>
          <w:bCs w:val="false"/>
          <w:color w:val="333333"/>
          <w:sz w:val="20"/>
          <w:szCs w:val="20"/>
        </w:rPr>
        <w:t xml:space="preserve">TI y Seguridad de la Información deberán revisar periódicamente la existencia de: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Cuentas sin uso;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Cuentas de personal que ya no labora;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Cuentas duplicadas;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Cuentas genéricas no autorizadas;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Cuentas sin responsable identificado;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Cuentas con privilegios que no correspondan.</w:t>
      </w:r>
    </w:p>
    <w:p>
      <w:pPr>
        <w:spacing w:after="120" w:before="0" w:line="276"/>
        <w:jc w:val="left"/>
      </w:pPr>
      <w:r>
        <w:rPr>
          <w:rFonts w:ascii="Calibri" w:cs="Calibri" w:eastAsia="Calibri" w:hAnsi="Calibri"/>
          <w:b w:val="false"/>
          <w:bCs w:val="false"/>
          <w:color w:val="333333"/>
          <w:sz w:val="20"/>
          <w:szCs w:val="20"/>
        </w:rPr>
        <w:t xml:space="preserve">Las cuentas detectadas deberán regularizarse, suspenderse o inhabilitarse según corresponda.</w:t>
      </w:r>
    </w:p>
    <w:p>
      <w:pPr>
        <w:pStyle w:val="Heading2"/>
        <w:spacing w:after="200" w:before="400" w:line="240"/>
        <w:jc w:val="left"/>
      </w:pPr>
      <w:r>
        <w:rPr>
          <w:rFonts w:ascii="Calibri" w:cs="Calibri" w:eastAsia="Calibri" w:hAnsi="Calibri"/>
          <w:b/>
          <w:bCs/>
          <w:color w:val="000000"/>
          <w:sz w:val="20"/>
          <w:szCs w:val="20"/>
        </w:rPr>
        <w:t xml:space="preserve">Evidencia y cierre</w:t>
      </w:r>
    </w:p>
    <w:p>
      <w:pPr>
        <w:spacing w:after="120" w:before="0" w:line="276"/>
        <w:jc w:val="left"/>
      </w:pPr>
      <w:r>
        <w:rPr>
          <w:rFonts w:ascii="Calibri" w:cs="Calibri" w:eastAsia="Calibri" w:hAnsi="Calibri"/>
          <w:b w:val="false"/>
          <w:bCs w:val="false"/>
          <w:color w:val="333333"/>
          <w:sz w:val="20"/>
          <w:szCs w:val="20"/>
        </w:rPr>
        <w:t xml:space="preserve">Cada alta, modificación, suspensión o inhabilitación de cuenta deberá generar evidencia documental y/o técnica, incluyendo como mínimo: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Solicitud;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ejecución;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Sistema o servicio afectado;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Responsable que ejecutó;</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Resultado del movimiento.</w:t>
      </w:r>
    </w:p>
    <w:p>
      <w:r>
        <w:t xml:space="preserve"> </w:t>
      </w:r>
    </w:p>
    <w:p>
      <w:pPr>
        <w:pStyle w:val="Heading1"/>
        <w:pBdr>
          <w:bottom w:val="single" w:color="D9D9D9" w:sz="4" w:space="8"/>
        </w:pBdr>
        <w:spacing w:after="200" w:before="400" w:line="240"/>
      </w:pPr>
      <w:bookmarkStart w:name="section_9_periodicidad_de_revision" w:id="1"/>
      <w:r>
        <w:t xml:space="preserve"/>
      </w:r>
      <w:bookmarkEnd w:id="1"/>
      <w:r>
        <w:rPr>
          <w:rFonts w:ascii="Calibri" w:cs="Calibri" w:eastAsia="Calibri" w:hAnsi="Calibri"/>
          <w:b/>
          <w:bCs/>
          <w:color w:val="000000"/>
          <w:sz w:val="28"/>
          <w:szCs w:val="28"/>
        </w:rPr>
        <w:t xml:space="preserve">10.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0_glosario" w:id="1"/>
      <w:r>
        <w:rPr>
          <w:rFonts w:ascii="Calibri" w:cs="Calibri" w:eastAsia="Calibri" w:hAnsi="Calibri"/>
          <w:b/>
          <w:bCs/>
          <w:color w:val="000000"/>
          <w:sz w:val="28"/>
          <w:szCs w:val="28"/>
        </w:rPr>
        <w:t xml:space="preserve">11.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PR-SF-011</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para realizar el registro e inhabilitar cuentas de usuario</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PR-SF-011</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para realizar el registro e inhabilitar cuentas de usuario</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para realizar el registro e inhabilitar cuentas de usuario</dc:title>
  <dc:subject>Proceso</dc:subject>
  <dc:creator>Administrador MAPLINKS</dc:creator>
  <cp:keywords>PR-SF-011</cp:keywords>
  <dc:description>Documento PR-SF-011</dc:description>
  <cp:lastModifiedBy>Administrador MAPLINKS</cp:lastModifiedBy>
  <cp:revision>1</cp:revision>
  <dcterms:created xsi:type="dcterms:W3CDTF">2026-09-30T21:33:27.905Z</dcterms:created>
  <dcterms:modified xsi:type="dcterms:W3CDTF">2026-09-30T21:33:27.905Z</dcterms:modified>
</cp:coreProperties>
</file>

<file path=docProps/custom.xml><?xml version="1.0" encoding="utf-8"?>
<Properties xmlns="http://schemas.openxmlformats.org/officeDocument/2006/custom-properties" xmlns:vt="http://schemas.openxmlformats.org/officeDocument/2006/docPropsVTypes"/>
</file>