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una política de control de accesos significa establecer la </w:t>
      </w:r>
      <w:r>
        <w:rPr>
          <w:rFonts w:ascii="Calibri" w:cs="Calibri" w:eastAsia="Calibri" w:hAnsi="Calibri"/>
          <w:b/>
          <w:bCs/>
          <w:color w:val="333333"/>
          <w:sz w:val="20"/>
          <w:szCs w:val="20"/>
        </w:rPr>
        <w:t xml:space="preserve">"identidad digital"</w:t>
      </w:r>
      <w:r>
        <w:rPr>
          <w:rFonts w:ascii="Calibri" w:cs="Calibri" w:eastAsia="Calibri" w:hAnsi="Calibri"/>
          <w:b w:val="false"/>
          <w:bCs w:val="false"/>
          <w:color w:val="333333"/>
          <w:sz w:val="20"/>
          <w:szCs w:val="20"/>
        </w:rPr>
        <w:t xml:space="preserve"> como el primer y más importante perímetro de defensa institucional. Representa la capacidad técnica de asegurar que cada interacción con los datos de los contribuyentes sea legítima, rastreable y autorizada. Esta política garantiza que el acceso a la información no sea un derecho general, sino un privilegio controlado que se otorga estrictamente en función del rol y se revoca de inmediato cuando deja de ser necesario, protegiendo así el núcleo operativo de nuestro monedero electrónico.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las directrices, reglas y mecanismos técnicos para gestionar el acceso a los sistemas, redes y servicios de red de la persona moral. El fin es garantizar que solo los usuarios autorizados tengan acceso a los recursos tecnológicos y que sus actividades se limiten a lo estrictamente necesario para el cumplimiento de sus funciones.</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 política es de cumplimiento obligatorio para todos los accionistas, colaboradores, proveedores, distribuidores y terceros que requieran interactuar con los sistemas de información relacionados con la operación del monedero electrónico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req_21_PO_SF_007.pdf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Propietario (Accionistas y director general)</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·Decidir sobre la clasificación de la información y los niveles de acceso permitidos para cada puesto.</w:t>
            </w:r>
          </w:p>
          <w:p>
            <w:pPr>
              <w:jc w:val="left"/>
            </w:pPr>
            <w:r>
              <w:t xml:space="preserve"> </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Supervisor (directores y jefes de área)</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·Asegurar que sus subalternos tengan los accesos correctos y notificar al administrador de seguridad si un empleado es despedido, suspendido o transferido.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Custodio (Gerente de TI)</w:t>
            </w:r>
          </w:p>
          <w:p>
            <w:pPr>
              <w:jc w:val="left"/>
            </w:pPr>
            <w:r>
              <w:t xml:space="preserve"> </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·Implementar técnicamente los controles de acceso, gestionar las altas/bajas de usuarios y asegurar la segregación de 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Oficial de seguridad</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·Vigilar que el control de accesos cumpla con la normatividad del SAT y supervisar las estrategias de seguridad implementadas.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Usuario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·Responsabilidad de hacer buen uso de sus credenciales (contraseñas), las cuales son personales e intransferibles, con estricto apego a este manual.</w:t>
            </w:r>
          </w:p>
          <w:p>
            <w:pPr>
              <w:jc w:val="left"/>
            </w:pPr>
            <w:r>
              <w:t xml:space="preserve"> </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definicion_de_acceso_a_los_sistemas" w:id="1"/>
      <w:r>
        <w:t xml:space="preserve"/>
      </w:r>
      <w:bookmarkEnd w:id="1"/>
      <w:r>
        <w:rPr>
          <w:rFonts w:ascii="Calibri" w:cs="Calibri" w:eastAsia="Calibri" w:hAnsi="Calibri"/>
          <w:b/>
          <w:bCs/>
          <w:color w:val="000000"/>
          <w:sz w:val="28"/>
          <w:szCs w:val="28"/>
        </w:rPr>
        <w:t xml:space="preserve">7. DEFINICIÓN DE ACCESO A LOS SISTEMAS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Se define como acceso a los sistemas de la persona moral a la facultad o permiso concedido a un usuario para ingresar, consultar, procesar, transmitir o modificar información dentro de las plataformas tecnológicas, redes y servicios de red vinculados a la operación de </w:t>
      </w:r>
      <w:r>
        <w:rPr>
          <w:rFonts w:ascii="Calibri" w:cs="Calibri" w:eastAsia="Calibri" w:hAnsi="Calibri"/>
          <w:b/>
          <w:bCs/>
          <w:color w:val="333333"/>
          <w:sz w:val="20"/>
          <w:szCs w:val="20"/>
        </w:rPr>
        <w:t xml:space="preserve">SENDERO FUEL</w:t>
      </w:r>
    </w:p>
    <w:p>
      <w:r>
        <w:t xml:space="preserve"> </w:t>
      </w:r>
    </w:p>
    <w:p>
      <w:pPr>
        <w:pStyle w:val="Heading1"/>
        <w:pBdr>
          <w:bottom w:val="single" w:color="D9D9D9" w:sz="4" w:space="8"/>
        </w:pBdr>
        <w:spacing w:after="200" w:before="400" w:line="240"/>
      </w:pPr>
      <w:bookmarkStart w:name="section_7_directrices_para_el_uso_y_operacion_de_sistemas" w:id="1"/>
      <w:r>
        <w:t xml:space="preserve"/>
      </w:r>
      <w:bookmarkEnd w:id="1"/>
      <w:r>
        <w:rPr>
          <w:rFonts w:ascii="Calibri" w:cs="Calibri" w:eastAsia="Calibri" w:hAnsi="Calibri"/>
          <w:b/>
          <w:bCs/>
          <w:color w:val="000000"/>
          <w:sz w:val="28"/>
          <w:szCs w:val="28"/>
        </w:rPr>
        <w:t xml:space="preserve">8. DIRECTRICES PARA EL USO Y OPERACIÓN DE SISTEMAS</w:t>
      </w:r>
    </w:p>
    <w:p>
      <w:r>
        <w:rPr>
          <w:sz w:val="2"/>
          <w:szCs w:val="2"/>
        </w:rPr>
        <w:t xml:space="preserve"/>
      </w:r>
    </w:p>
    <w:p>
      <w:pPr>
        <w:pStyle w:val="ListParagraph"/>
        <w:numPr>
          <w:ilvl w:val="0"/>
          <w:numId w:val="1"/>
        </w:numPr>
        <w:spacing w:line="276"/>
        <w:jc w:val="left"/>
      </w:pPr>
      <w:r>
        <w:rPr>
          <w:rFonts w:ascii="Calibri" w:cs="Calibri" w:eastAsia="Calibri" w:hAnsi="Calibri"/>
          <w:b/>
          <w:bCs/>
          <w:color w:val="333333"/>
          <w:sz w:val="20"/>
          <w:szCs w:val="20"/>
        </w:rPr>
        <w:t xml:space="preserve">Identificación Única:</w:t>
      </w:r>
      <w:r>
        <w:rPr>
          <w:rFonts w:ascii="Calibri" w:cs="Calibri" w:eastAsia="Calibri" w:hAnsi="Calibri"/>
          <w:b w:val="false"/>
          <w:bCs w:val="false"/>
          <w:color w:val="333333"/>
          <w:sz w:val="20"/>
          <w:szCs w:val="20"/>
        </w:rPr>
        <w:t xml:space="preserve"> Todo acceso debe realizarse mediante un identificador de usuario único que permita la trazabilidad absoluta de las acciones.</w:t>
      </w:r>
    </w:p>
    <w:p>
      <w:pPr>
        <w:pStyle w:val="ListParagraph"/>
        <w:numPr>
          <w:ilvl w:val="0"/>
          <w:numId w:val="1"/>
        </w:numPr>
        <w:spacing w:line="276"/>
        <w:jc w:val="left"/>
      </w:pPr>
      <w:r>
        <w:rPr>
          <w:rFonts w:ascii="Calibri" w:cs="Calibri" w:eastAsia="Calibri" w:hAnsi="Calibri"/>
          <w:b/>
          <w:bCs/>
          <w:color w:val="333333"/>
          <w:sz w:val="20"/>
          <w:szCs w:val="20"/>
        </w:rPr>
        <w:t xml:space="preserve">Principio de Menor Privilegio:</w:t>
      </w:r>
      <w:r>
        <w:rPr>
          <w:rFonts w:ascii="Calibri" w:cs="Calibri" w:eastAsia="Calibri" w:hAnsi="Calibri"/>
          <w:b w:val="false"/>
          <w:bCs w:val="false"/>
          <w:color w:val="333333"/>
          <w:sz w:val="20"/>
          <w:szCs w:val="20"/>
        </w:rPr>
        <w:t xml:space="preserve"> Los accesos se otorgarán limitando las facultades al mínimo necesario para el desempeño del rol asignado.</w:t>
      </w:r>
    </w:p>
    <w:p>
      <w:pPr>
        <w:pStyle w:val="ListParagraph"/>
        <w:numPr>
          <w:ilvl w:val="0"/>
          <w:numId w:val="1"/>
        </w:numPr>
        <w:spacing w:line="276"/>
        <w:jc w:val="left"/>
      </w:pPr>
      <w:r>
        <w:rPr>
          <w:rFonts w:ascii="Calibri" w:cs="Calibri" w:eastAsia="Calibri" w:hAnsi="Calibri"/>
          <w:b/>
          <w:bCs/>
          <w:color w:val="333333"/>
          <w:sz w:val="20"/>
          <w:szCs w:val="20"/>
        </w:rPr>
        <w:t xml:space="preserve">Gestión de Contraseñas:</w:t>
      </w:r>
      <w:r>
        <w:rPr>
          <w:rFonts w:ascii="Calibri" w:cs="Calibri" w:eastAsia="Calibri" w:hAnsi="Calibri"/>
          <w:b w:val="false"/>
          <w:bCs w:val="false"/>
          <w:color w:val="333333"/>
          <w:sz w:val="20"/>
          <w:szCs w:val="20"/>
        </w:rPr>
        <w:t xml:space="preserve"> Se implementarán mecanismos que obliguen al uso de contraseñas robustas y al cambio obligatorio en el primer inicio de sesión.</w:t>
      </w:r>
    </w:p>
    <w:p>
      <w:pPr>
        <w:pStyle w:val="ListParagraph"/>
        <w:numPr>
          <w:ilvl w:val="0"/>
          <w:numId w:val="1"/>
        </w:numPr>
        <w:spacing w:line="276"/>
        <w:jc w:val="left"/>
      </w:pPr>
      <w:r>
        <w:rPr>
          <w:rFonts w:ascii="Calibri" w:cs="Calibri" w:eastAsia="Calibri" w:hAnsi="Calibri"/>
          <w:b/>
          <w:bCs/>
          <w:color w:val="333333"/>
          <w:sz w:val="20"/>
          <w:szCs w:val="20"/>
        </w:rPr>
        <w:t xml:space="preserve">Segregación de Redes:</w:t>
      </w:r>
      <w:r>
        <w:rPr>
          <w:rFonts w:ascii="Calibri" w:cs="Calibri" w:eastAsia="Calibri" w:hAnsi="Calibri"/>
          <w:b w:val="false"/>
          <w:bCs w:val="false"/>
          <w:color w:val="333333"/>
          <w:sz w:val="20"/>
          <w:szCs w:val="20"/>
        </w:rPr>
        <w:t xml:space="preserve"> El acceso a los sistemas operativos y bases de datos del monedero electrónico debe estar segregado de las redes de uso administrativo o general.</w:t>
      </w:r>
    </w:p>
    <w:p>
      <w:r>
        <w:t xml:space="preserve"> </w:t>
      </w:r>
    </w:p>
    <w:p>
      <w:pPr>
        <w:pStyle w:val="Heading1"/>
        <w:pBdr>
          <w:bottom w:val="single" w:color="D9D9D9" w:sz="4" w:space="8"/>
        </w:pBdr>
        <w:spacing w:after="200" w:before="400" w:line="240"/>
      </w:pPr>
      <w:bookmarkStart w:name="section_8_penalizaciones_por_incumplimiento_a_lo_establecido_en_la_politica" w:id="1"/>
      <w:r>
        <w:t xml:space="preserve"/>
      </w:r>
      <w:bookmarkEnd w:id="1"/>
      <w:r>
        <w:rPr>
          <w:rFonts w:ascii="Calibri" w:cs="Calibri" w:eastAsia="Calibri" w:hAnsi="Calibri"/>
          <w:b/>
          <w:bCs/>
          <w:color w:val="000000"/>
          <w:sz w:val="28"/>
          <w:szCs w:val="28"/>
        </w:rPr>
        <w:t xml:space="preserve">9. PENALIZACIONES POR INCUMPLIMIENTO  A LO ESTABLECIDO EN LA POLÍTICA</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El incumplimiento de los lineamientos establecidos en esta política será sujeto a sanciones conforme a la normativa interna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la gravedad de la falta:</w:t>
      </w:r>
    </w:p>
    <w:p>
      <w:pPr>
        <w:spacing w:after="120" w:before="0" w:line="276"/>
        <w:jc w:val="left"/>
      </w:pPr>
      <w:r>
        <w:rPr>
          <w:rFonts w:ascii="Calibri" w:cs="Calibri" w:eastAsia="Calibri" w:hAnsi="Calibri"/>
          <w:b/>
          <w:bCs/>
          <w:color w:val="333333"/>
          <w:sz w:val="20"/>
          <w:szCs w:val="20"/>
        </w:rPr>
        <w:t xml:space="preserve">Faltas Leves </w:t>
      </w:r>
      <w:r>
        <w:rPr>
          <w:rFonts w:ascii="Calibri" w:cs="Calibri" w:eastAsia="Calibri" w:hAnsi="Calibri"/>
          <w:b w:val="false"/>
          <w:bCs w:val="false"/>
          <w:color w:val="333333"/>
          <w:sz w:val="20"/>
          <w:szCs w:val="20"/>
        </w:rPr>
        <w:t xml:space="preserve">(Ej. Omisión de lectura de boletines de seguridad): Amonestación verbal y re-capacitación inmediata sobre la importancia de la inteligencia de amenazas.</w:t>
      </w:r>
    </w:p>
    <w:p>
      <w:pPr>
        <w:spacing w:after="120" w:before="0" w:line="276"/>
        <w:jc w:val="left"/>
      </w:pPr>
      <w:r>
        <w:rPr>
          <w:rFonts w:ascii="Calibri" w:cs="Calibri" w:eastAsia="Calibri" w:hAnsi="Calibri"/>
          <w:b/>
          <w:bCs/>
          <w:color w:val="333333"/>
          <w:sz w:val="20"/>
          <w:szCs w:val="20"/>
        </w:rPr>
        <w:t xml:space="preserve">Faltas Graves</w:t>
      </w:r>
      <w:r>
        <w:rPr>
          <w:rFonts w:ascii="Calibri" w:cs="Calibri" w:eastAsia="Calibri" w:hAnsi="Calibri"/>
          <w:b w:val="false"/>
          <w:bCs w:val="false"/>
          <w:color w:val="333333"/>
          <w:sz w:val="20"/>
          <w:szCs w:val="20"/>
        </w:rPr>
        <w:t xml:space="preserve"> (Ej. Permitir la expiración de suscripciones críticas o no reportar una alerta de vulnerabilidad detectada en los boletines): Amonestación por escrito con copia al expediente laboral y posible suspensión de funciones relacionadas con la administración de sistemas.</w:t>
      </w:r>
    </w:p>
    <w:p>
      <w:pPr>
        <w:spacing w:after="120" w:before="0" w:line="276"/>
        <w:jc w:val="left"/>
      </w:pPr>
      <w:r>
        <w:rPr>
          <w:rFonts w:ascii="Calibri" w:cs="Calibri" w:eastAsia="Calibri" w:hAnsi="Calibri"/>
          <w:b/>
          <w:bCs/>
          <w:color w:val="333333"/>
          <w:sz w:val="20"/>
          <w:szCs w:val="20"/>
        </w:rPr>
        <w:t xml:space="preserve">Faltas Críticas</w:t>
      </w:r>
      <w:r>
        <w:rPr>
          <w:rFonts w:ascii="Calibri" w:cs="Calibri" w:eastAsia="Calibri" w:hAnsi="Calibri"/>
          <w:b w:val="false"/>
          <w:bCs w:val="false"/>
          <w:color w:val="333333"/>
          <w:sz w:val="20"/>
          <w:szCs w:val="20"/>
        </w:rPr>
        <w:t xml:space="preserve"> (Ej. Omisión deliberada que resulte en la materialización de un riesgo por no seguir las alertas de los grupos de interés): Terminación de la relación contractual, sin perjuicio de las acciones legales que correspondan por poner en riesgo la confidencialidad de la información de los contribuyentes.</w:t>
      </w:r>
    </w:p>
    <w:p>
      <w:r>
        <w:t xml:space="preserve"> </w:t>
      </w:r>
    </w:p>
    <w:p>
      <w:pPr>
        <w:pStyle w:val="Heading1"/>
        <w:pBdr>
          <w:bottom w:val="single" w:color="D9D9D9" w:sz="4" w:space="8"/>
        </w:pBdr>
        <w:spacing w:after="200" w:before="400" w:line="240"/>
      </w:pPr>
      <w:bookmarkStart w:name="section_9_lineamientos_de_atencion_a_situaciones_fortuitas" w:id="1"/>
      <w:r>
        <w:t xml:space="preserve"/>
      </w:r>
      <w:bookmarkEnd w:id="1"/>
      <w:r>
        <w:rPr>
          <w:rFonts w:ascii="Calibri" w:cs="Calibri" w:eastAsia="Calibri" w:hAnsi="Calibri"/>
          <w:b/>
          <w:bCs/>
          <w:color w:val="000000"/>
          <w:sz w:val="28"/>
          <w:szCs w:val="28"/>
        </w:rPr>
        <w:t xml:space="preserve">10. LINEAMIENTOS DE ATENCIÓN A SITUACIONES FORTUITAS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Ante eventos imprevistos relacionados con el acceso, se procederá de la siguiente forma:</w:t>
      </w:r>
    </w:p>
    <w:p>
      <w:pPr>
        <w:pStyle w:val="ListParagraph"/>
        <w:numPr>
          <w:ilvl w:val="0"/>
          <w:numId w:val="1"/>
        </w:numPr>
        <w:spacing w:line="276"/>
        <w:jc w:val="left"/>
      </w:pPr>
      <w:r>
        <w:rPr>
          <w:rFonts w:ascii="Calibri" w:cs="Calibri" w:eastAsia="Calibri" w:hAnsi="Calibri"/>
          <w:b/>
          <w:bCs/>
          <w:color w:val="333333"/>
          <w:sz w:val="20"/>
          <w:szCs w:val="20"/>
        </w:rPr>
        <w:t xml:space="preserve">Bloqueo de Cuentas:</w:t>
      </w:r>
      <w:r>
        <w:rPr>
          <w:rFonts w:ascii="Calibri" w:cs="Calibri" w:eastAsia="Calibri" w:hAnsi="Calibri"/>
          <w:b w:val="false"/>
          <w:bCs w:val="false"/>
          <w:color w:val="333333"/>
          <w:sz w:val="20"/>
          <w:szCs w:val="20"/>
        </w:rPr>
        <w:t xml:space="preserve"> En caso de múltiples intentos fallidos o detección de actividad sospechosa, el sistema bloqueará automáticamente el acceso.</w:t>
      </w:r>
    </w:p>
    <w:p>
      <w:pPr>
        <w:pStyle w:val="ListParagraph"/>
        <w:numPr>
          <w:ilvl w:val="0"/>
          <w:numId w:val="1"/>
        </w:numPr>
        <w:spacing w:line="276"/>
        <w:jc w:val="left"/>
      </w:pPr>
      <w:r>
        <w:rPr>
          <w:rFonts w:ascii="Calibri" w:cs="Calibri" w:eastAsia="Calibri" w:hAnsi="Calibri"/>
          <w:b/>
          <w:bCs/>
          <w:color w:val="333333"/>
          <w:sz w:val="20"/>
          <w:szCs w:val="20"/>
        </w:rPr>
        <w:t xml:space="preserve">Compromiso de Credenciales:</w:t>
      </w:r>
      <w:r>
        <w:rPr>
          <w:rFonts w:ascii="Calibri" w:cs="Calibri" w:eastAsia="Calibri" w:hAnsi="Calibri"/>
          <w:b w:val="false"/>
          <w:bCs w:val="false"/>
          <w:color w:val="333333"/>
          <w:sz w:val="20"/>
          <w:szCs w:val="20"/>
        </w:rPr>
        <w:t xml:space="preserve"> Ante la sospecha de robo de identidad, el usuario debe reportarlo en menos de 1 hora al Oficial de Seguridad para la revocación inmediata y reseteo de claves.</w:t>
      </w:r>
    </w:p>
    <w:p>
      <w:pPr>
        <w:pStyle w:val="ListParagraph"/>
        <w:numPr>
          <w:ilvl w:val="0"/>
          <w:numId w:val="1"/>
        </w:numPr>
        <w:spacing w:line="276"/>
        <w:jc w:val="left"/>
      </w:pPr>
      <w:r>
        <w:rPr>
          <w:rFonts w:ascii="Calibri" w:cs="Calibri" w:eastAsia="Calibri" w:hAnsi="Calibri"/>
          <w:b/>
          <w:bCs/>
          <w:color w:val="333333"/>
          <w:sz w:val="20"/>
          <w:szCs w:val="20"/>
        </w:rPr>
        <w:t xml:space="preserve">Falla de Autenticación:</w:t>
      </w:r>
      <w:r>
        <w:rPr>
          <w:rFonts w:ascii="Calibri" w:cs="Calibri" w:eastAsia="Calibri" w:hAnsi="Calibri"/>
          <w:b w:val="false"/>
          <w:bCs w:val="false"/>
          <w:color w:val="333333"/>
          <w:sz w:val="20"/>
          <w:szCs w:val="20"/>
        </w:rPr>
        <w:t xml:space="preserve"> Si los sistemas de autenticación fallan, se activará el plan de continuidad para asegurar la operación bajo métodos alternos autorizados.</w:t>
      </w:r>
    </w:p>
    <w:p>
      <w:r>
        <w:t xml:space="preserve"> </w:t>
      </w:r>
    </w:p>
    <w:p>
      <w:pPr>
        <w:pStyle w:val="Heading1"/>
        <w:pBdr>
          <w:bottom w:val="single" w:color="D9D9D9" w:sz="4" w:space="8"/>
        </w:pBdr>
        <w:spacing w:after="200" w:before="400" w:line="240"/>
      </w:pPr>
      <w:bookmarkStart w:name="section_10_periodicidad_de_revision" w:id="1"/>
      <w:r>
        <w:t xml:space="preserve"/>
      </w:r>
      <w:bookmarkEnd w:id="1"/>
      <w:r>
        <w:rPr>
          <w:rFonts w:ascii="Calibri" w:cs="Calibri" w:eastAsia="Calibri" w:hAnsi="Calibri"/>
          <w:b/>
          <w:bCs/>
          <w:color w:val="000000"/>
          <w:sz w:val="28"/>
          <w:szCs w:val="28"/>
        </w:rPr>
        <w:t xml:space="preserve">11.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1_glosario" w:id="1"/>
      <w:r>
        <w:rPr>
          <w:rFonts w:ascii="Calibri" w:cs="Calibri" w:eastAsia="Calibri" w:hAnsi="Calibri"/>
          <w:b/>
          <w:bCs/>
          <w:color w:val="000000"/>
          <w:sz w:val="28"/>
          <w:szCs w:val="28"/>
        </w:rPr>
        <w:t xml:space="preserve">12.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PO-SF-007</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control de accesos a los sistemas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PO-SF-007</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control de accesos a los sistemas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Poltica de control de accesos a los sistemas</dc:title>
  <dc:subject>Poltica</dc:subject>
  <dc:creator>Administrador MAPLINKS</dc:creator>
  <cp:keywords>PO-SF-007</cp:keywords>
  <dc:description>Documento PO-SF-007</dc:description>
  <cp:lastModifiedBy>Administrador MAPLINKS</cp:lastModifiedBy>
  <cp:revision>1</cp:revision>
  <dcterms:created xsi:type="dcterms:W3CDTF">2026-09-30T21:33:27.217Z</dcterms:created>
  <dcterms:modified xsi:type="dcterms:W3CDTF">2026-09-30T21:33:27.217Z</dcterms:modified>
</cp:coreProperties>
</file>

<file path=docProps/custom.xml><?xml version="1.0" encoding="utf-8"?>
<Properties xmlns="http://schemas.openxmlformats.org/officeDocument/2006/custom-properties" xmlns:vt="http://schemas.openxmlformats.org/officeDocument/2006/docPropsVTypes"/>
</file>