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un procedimiento para autorizar y revocar el uso de medios removibles significa establecer una </w:t>
      </w:r>
      <w:r>
        <w:rPr>
          <w:rFonts w:ascii="Calibri" w:cs="Calibri" w:eastAsia="Calibri" w:hAnsi="Calibri"/>
          <w:b/>
          <w:bCs/>
          <w:color w:val="333333"/>
          <w:sz w:val="20"/>
          <w:szCs w:val="20"/>
        </w:rPr>
        <w:t xml:space="preserve">"aduana de datos"</w:t>
      </w:r>
      <w:r>
        <w:rPr>
          <w:rFonts w:ascii="Calibri" w:cs="Calibri" w:eastAsia="Calibri" w:hAnsi="Calibri"/>
          <w:b w:val="false"/>
          <w:bCs w:val="false"/>
          <w:color w:val="333333"/>
          <w:sz w:val="20"/>
          <w:szCs w:val="20"/>
        </w:rPr>
        <w:t xml:space="preserve"> inquebrantable. Representa el control absoluto sobre la salida física de la información de los contribuyentes, asegurando que ningún dato crítico (como saldos, transacciones o datos personales) abandone el entorno controlado sin una traza de responsabilidad digital y una justificación operativa válida.</w:t>
      </w:r>
    </w:p>
    <w:p>
      <w:pPr>
        <w:spacing w:after="120" w:before="0" w:line="276"/>
        <w:jc w:val="both"/>
      </w:pPr>
      <w:r>
        <w:rPr>
          <w:rFonts w:ascii="Calibri" w:cs="Calibri" w:eastAsia="Calibri" w:hAnsi="Calibri"/>
          <w:b w:val="false"/>
          <w:bCs w:val="false"/>
          <w:color w:val="333333"/>
          <w:sz w:val="20"/>
          <w:szCs w:val="20"/>
        </w:rPr>
        <w:t xml:space="preserve">Este procedimiento es la garantía de que la movilidad de la información no comprometa la </w:t>
      </w:r>
      <w:r>
        <w:rPr>
          <w:rFonts w:ascii="Calibri" w:cs="Calibri" w:eastAsia="Calibri" w:hAnsi="Calibri"/>
          <w:b/>
          <w:bCs/>
          <w:color w:val="333333"/>
          <w:sz w:val="20"/>
          <w:szCs w:val="20"/>
        </w:rPr>
        <w:t xml:space="preserve">soberanía de los datos</w:t>
      </w:r>
      <w:r>
        <w:rPr>
          <w:rFonts w:ascii="Calibri" w:cs="Calibri" w:eastAsia="Calibri" w:hAnsi="Calibri"/>
          <w:b w:val="false"/>
          <w:bCs w:val="false"/>
          <w:color w:val="333333"/>
          <w:sz w:val="20"/>
          <w:szCs w:val="20"/>
        </w:rPr>
        <w:t xml:space="preserve"> de la organización, permitiendo que la revocación de accesos sea inmediata y efectiva ante cualquier cambio en el nivel de confianza o relación laboral con el usuario.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los lineamientos y pasos técnicos para autorizar, supervisar y revocar el uso de medios removibles de almacenamiento (memorias USB, discos externos, entre otros), así como regular su traslado dentro y fuera de las oficinas o centros de datos, mitigando riesgos de fuga de información y código malicioso.</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Este procedimiento es de cumplimiento mandatorio para todos los accionistas, colaboradores, proveedores y terceros autorizados que tengan relación con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y requieran el uso de medios físicos de almacenamiento para el desempeño de sus funciones ligadas al monedero electrónico.</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req_20_PR_SF_006.pdf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Propietario (Accionistas y director general)</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·Decidir sobre la clasificación de la información permitida en medios físicos.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Supervisor (directores y jefes de área)</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·Validar la necesidad operativa y notificar de inmediato si un empleado con acceso a medios es despedido o transferido.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Custodio (Gerente de TI)</w:t>
            </w:r>
          </w:p>
          <w:p>
            <w:pPr>
              <w:jc w:val="left"/>
            </w:pPr>
            <w:r>
              <w:t xml:space="preserve"> </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·Implementar medidas de cifrado, realizar el borrado seguro y la inhabilitación lógica de puertos en equipos de la empresa.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Oficial de seguridad</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·Vigilar el cumplimiento normativo y supervisar que la gestión de medios esté alineada a la </w:t>
            </w:r>
            <w:r>
              <w:rPr>
                <w:rFonts w:ascii="Calibri" w:cs="Calibri" w:eastAsia="Calibri" w:hAnsi="Calibri"/>
                <w:b/>
                <w:bCs/>
                <w:color w:val="333333"/>
                <w:sz w:val="18"/>
                <w:szCs w:val="18"/>
              </w:rPr>
              <w:t xml:space="preserve">ISO 27001.</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Usuario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·Responsabilidad del buen uso, resguardo físico del medio y cumplimiento estricto del presente manual.</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procedimiento" w:id="1"/>
      <w:r>
        <w:t xml:space="preserve"/>
      </w:r>
      <w:bookmarkEnd w:id="1"/>
      <w:r>
        <w:rPr>
          <w:rFonts w:ascii="Calibri" w:cs="Calibri" w:eastAsia="Calibri" w:hAnsi="Calibri"/>
          <w:b/>
          <w:bCs/>
          <w:color w:val="000000"/>
          <w:sz w:val="28"/>
          <w:szCs w:val="28"/>
        </w:rPr>
        <w:t xml:space="preserve">7.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Proceso de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Solicitud Justificada: El usuario debe solicitar el uso de un medio removible únicamente cuando los canales de red seguros (VPN/SFTP) no sean viables para la tarea.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Validación de Identidad: El Oficial de Seguridad verifica que el solicitante no tenga conflictos de interés y que su rol operativo lo justifique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Aprovisionamiento Seguro: El Custodio entregará un medio propiedad de SENDERO FUEL (prohibiendo el uso de medios personales), el cual debe estar cifrado y analizado contra código malicioso.</w:t>
      </w:r>
    </w:p>
    <w:p>
      <w:pPr>
        <w:pStyle w:val="Heading2"/>
        <w:spacing w:after="200" w:before="400" w:line="240"/>
        <w:jc w:val="left"/>
      </w:pPr>
      <w:r>
        <w:rPr>
          <w:rFonts w:ascii="Calibri" w:cs="Calibri" w:eastAsia="Calibri" w:hAnsi="Calibri"/>
          <w:b/>
          <w:bCs/>
          <w:color w:val="000000"/>
          <w:sz w:val="20"/>
          <w:szCs w:val="20"/>
        </w:rPr>
        <w:t xml:space="preserve">Control de Traslado (Oficinas y Centro de Datos)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Bitácora de Movimientos: Todo medio que ingrese o salga de las oficinas o del Centro de Datos debe ser registrado en la bitácora institucional, indicando fecha, hora, responsable y contenido general.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Protección en Tránsito: El traslado fuera de las instalaciones debe realizarse bajo medidas que impidan la visualización de la información por terceros y el extravío físico del dispositivo</w:t>
      </w:r>
    </w:p>
    <w:p>
      <w:pPr>
        <w:pStyle w:val="Heading2"/>
        <w:spacing w:after="200" w:before="400" w:line="240"/>
        <w:jc w:val="left"/>
      </w:pPr>
      <w:r>
        <w:rPr>
          <w:rFonts w:ascii="Calibri" w:cs="Calibri" w:eastAsia="Calibri" w:hAnsi="Calibri"/>
          <w:b/>
          <w:bCs/>
          <w:color w:val="000000"/>
          <w:sz w:val="20"/>
          <w:szCs w:val="20"/>
        </w:rPr>
        <w:t xml:space="preserve">Proceso de Revocación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por Tarea Concluida: Al finalizar la actividad autorizada, el usuario debe devolver el medio al Custodio para su desvinculación y borrado seguro.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por Cambio de Estatus: Ante despido, renuncia o transferencia, el Supervisor notificará al Oficial de Seguridad para la revocación inmediata de la autorización y la recuperación física del activo en un plazo no mayor a 24 horas.</w:t>
      </w:r>
    </w:p>
    <w:p>
      <w:pPr>
        <w:pStyle w:val="Heading2"/>
        <w:spacing w:after="200" w:before="400" w:line="240"/>
        <w:jc w:val="left"/>
      </w:pPr>
      <w:r>
        <w:rPr>
          <w:rFonts w:ascii="Calibri" w:cs="Calibri" w:eastAsia="Calibri" w:hAnsi="Calibri"/>
          <w:b/>
          <w:bCs/>
          <w:color w:val="000000"/>
          <w:sz w:val="20"/>
          <w:szCs w:val="20"/>
        </w:rPr>
        <w:t xml:space="preserve">Atención a Situaciones Fortuitas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 caso de robo o extravío, el usuario debe reportarlo en menos de 1 hora al Oficial de Seguridad para iniciar el protocolo de reporte al SAT y la evaluación del impacto a la confidencialidad de los contribuyentes.</w:t>
      </w:r>
    </w:p>
    <w:p>
      <w:r>
        <w:t xml:space="preserve"> </w:t>
      </w:r>
    </w:p>
    <w:p>
      <w:pPr>
        <w:pStyle w:val="Heading1"/>
        <w:pBdr>
          <w:bottom w:val="single" w:color="D9D9D9" w:sz="4" w:space="8"/>
        </w:pBdr>
        <w:spacing w:after="200" w:before="400" w:line="240"/>
      </w:pPr>
      <w:bookmarkStart w:name="section_7_periodicidad_de_revision" w:id="1"/>
      <w:r>
        <w:t xml:space="preserve"/>
      </w:r>
      <w:bookmarkEnd w:id="1"/>
      <w:r>
        <w:rPr>
          <w:rFonts w:ascii="Calibri" w:cs="Calibri" w:eastAsia="Calibri" w:hAnsi="Calibri"/>
          <w:b/>
          <w:bCs/>
          <w:color w:val="000000"/>
          <w:sz w:val="28"/>
          <w:szCs w:val="28"/>
        </w:rPr>
        <w:t xml:space="preserve">8.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8_glosario" w:id="1"/>
      <w:r>
        <w:rPr>
          <w:rFonts w:ascii="Calibri" w:cs="Calibri" w:eastAsia="Calibri" w:hAnsi="Calibri"/>
          <w:b/>
          <w:bCs/>
          <w:color w:val="000000"/>
          <w:sz w:val="28"/>
          <w:szCs w:val="28"/>
        </w:rPr>
        <w:t xml:space="preserve">9.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PR-SF-006</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autorizar y revocar el uso de medios removibles de almacenamiento</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PR-SF-006</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autorizar y revocar el uso de medios removibles de almacenamiento</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autorizar y revocar el uso de medios removibles de almacenamiento</dc:title>
  <dc:subject>Proceso</dc:subject>
  <dc:creator>Administrador MAPLINKS</dc:creator>
  <cp:keywords>PR-SF-006</cp:keywords>
  <dc:description>Documento PR-SF-006</dc:description>
  <cp:lastModifiedBy>Administrador MAPLINKS</cp:lastModifiedBy>
  <cp:revision>1</cp:revision>
  <dcterms:created xsi:type="dcterms:W3CDTF">2026-09-30T21:32:52.989Z</dcterms:created>
  <dcterms:modified xsi:type="dcterms:W3CDTF">2026-09-30T21:32:52.989Z</dcterms:modified>
</cp:coreProperties>
</file>

<file path=docProps/custom.xml><?xml version="1.0" encoding="utf-8"?>
<Properties xmlns="http://schemas.openxmlformats.org/officeDocument/2006/custom-properties" xmlns:vt="http://schemas.openxmlformats.org/officeDocument/2006/docPropsVTypes"/>
</file>