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la clasificación de información significa poder categorizar cada documento físico o digital que llega a nuestros manos, con independencia de la forma o modalidad de su creación, tipo de soporte, procesamiento, almacenamiento y organización. De tal forma que se le pueda asignar la protección y tratamiento adecuado, con lo que podemos generar mayor certidumbre de que la información solo la tendrán y conocerán aquellas personas que estén autorizadas y la requieran para el desempeño de sus funciones.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un marco normativo para identificar, categorizar y proteger la información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 acuerdo con su importancia estratégica, requisitos legales y sensibilidad, mitigando el riesgo de divulgación no autorizada o alteración de datos críticos del monedero electrónico.</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 política aplica a toda la información generada, procesada, almacenada o transmitida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ya sea en formato físico o digital, y es de cumplimiento obligatorio para todos los accionistas, colaboradores, proveedores y terceros autorizados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FO-SF-039 — FO_SF_039.xlsx</w:t>
      </w:r>
    </w:p>
    <w:p>
      <w:pPr>
        <w:spacing w:after="60" w:before="60" w:line="276"/>
      </w:pPr>
      <w:r>
        <w:rPr>
          <w:rFonts w:ascii="Calibri" w:cs="Calibri" w:eastAsia="Calibri" w:hAnsi="Calibri"/>
          <w:b w:val="false"/>
          <w:bCs w:val="false"/>
          <w:color w:val="333333"/>
          <w:sz w:val="20"/>
          <w:szCs w:val="20"/>
        </w:rPr>
        <w:t xml:space="preserve">• req_17_PO_SF_009.pdf</w:t>
      </w:r>
    </w:p>
    <w:p>
      <w:pPr>
        <w:spacing w:after="60" w:before="60" w:line="276"/>
      </w:pPr>
      <w:r>
        <w:rPr>
          <w:rFonts w:ascii="Calibri" w:cs="Calibri" w:eastAsia="Calibri" w:hAnsi="Calibri"/>
          <w:b w:val="false"/>
          <w:bCs w:val="false"/>
          <w:color w:val="333333"/>
          <w:sz w:val="20"/>
          <w:szCs w:val="20"/>
        </w:rPr>
        <w:t xml:space="preserve">• EV-SF-049 — EVIDENCIA REQ. 17 POLITICA - CLASIFICACIÓN DE LA INFORMACIÓN .pdf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Dueño de los datos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·Decide sobre la clasificación de los datos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Custodio de datos</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·Empleado de </w:t>
            </w:r>
            <w:r>
              <w:rPr>
                <w:rFonts w:ascii="Calibri" w:cs="Calibri" w:eastAsia="Calibri" w:hAnsi="Calibri"/>
                <w:b/>
                <w:bCs/>
                <w:color w:val="333333"/>
                <w:sz w:val="18"/>
                <w:szCs w:val="18"/>
              </w:rPr>
              <w:t xml:space="preserve">SENDERO</w:t>
            </w:r>
            <w:r>
              <w:t xml:space="preserve"> </w:t>
            </w:r>
            <w:r>
              <w:rPr>
                <w:rFonts w:ascii="Calibri" w:cs="Calibri" w:eastAsia="Calibri" w:hAnsi="Calibri"/>
                <w:b/>
                <w:bCs/>
                <w:color w:val="333333"/>
                <w:sz w:val="18"/>
                <w:szCs w:val="18"/>
              </w:rPr>
              <w:t xml:space="preserve">FUEL</w:t>
            </w:r>
            <w:r>
              <w:rPr>
                <w:rFonts w:ascii="Calibri" w:cs="Calibri" w:eastAsia="Calibri" w:hAnsi="Calibri"/>
                <w:b w:val="false"/>
                <w:bCs w:val="false"/>
                <w:color w:val="333333"/>
                <w:sz w:val="18"/>
                <w:szCs w:val="18"/>
              </w:rPr>
              <w:t xml:space="preserve"> al que se le ha asignado la tarea de salvaguardar los datos.</w:t>
            </w:r>
          </w:p>
          <w:p>
            <w:pPr>
              <w:jc w:val="left"/>
            </w:pPr>
            <w:r>
              <w:rPr>
                <w:rFonts w:ascii="Calibri" w:cs="Calibri" w:eastAsia="Calibri" w:hAnsi="Calibri"/>
                <w:b w:val="false"/>
                <w:bCs w:val="false"/>
                <w:color w:val="333333"/>
                <w:sz w:val="18"/>
                <w:szCs w:val="18"/>
              </w:rPr>
              <w:t xml:space="preserve">·Responsable del etiquetado de la información.</w:t>
            </w:r>
          </w:p>
          <w:p>
            <w:pPr>
              <w:jc w:val="left"/>
            </w:pPr>
            <w:r>
              <w:rPr>
                <w:rFonts w:ascii="Calibri" w:cs="Calibri" w:eastAsia="Calibri" w:hAnsi="Calibri"/>
                <w:b w:val="false"/>
                <w:bCs w:val="false"/>
                <w:color w:val="333333"/>
                <w:sz w:val="18"/>
                <w:szCs w:val="18"/>
              </w:rPr>
              <w:t xml:space="preserve">·Implementa y mantiene los controles de seguridad</w:t>
            </w:r>
          </w:p>
          <w:p>
            <w:pPr>
              <w:jc w:val="left"/>
            </w:pPr>
            <w:r>
              <w:rPr>
                <w:rFonts w:ascii="Calibri" w:cs="Calibri" w:eastAsia="Calibri" w:hAnsi="Calibri"/>
                <w:b w:val="false"/>
                <w:bCs w:val="false"/>
                <w:color w:val="333333"/>
                <w:sz w:val="18"/>
                <w:szCs w:val="18"/>
              </w:rPr>
              <w:t xml:space="preserve">·Realiza el inventario de activos bajo su responsabilidad y los clasifica.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la(s) Política(s) y Procedimiento(s) de la Clasificación.</w:t>
            </w:r>
          </w:p>
          <w:p>
            <w:pPr>
              <w:jc w:val="left"/>
            </w:pPr>
            <w:r>
              <w:rPr>
                <w:rFonts w:ascii="Calibri" w:cs="Calibri" w:eastAsia="Calibri" w:hAnsi="Calibri"/>
                <w:b w:val="false"/>
                <w:bCs w:val="false"/>
                <w:color w:val="333333"/>
                <w:sz w:val="18"/>
                <w:szCs w:val="18"/>
              </w:rPr>
              <w:t xml:space="preserve">·Aprobar toda propuesta de mejora para la(s) Política(s) de Clasificación de la Información.</w:t>
            </w:r>
          </w:p>
          <w:p>
            <w:pPr>
              <w:jc w:val="left"/>
            </w:pPr>
            <w:r>
              <w:rPr>
                <w:rFonts w:ascii="Calibri" w:cs="Calibri" w:eastAsia="Calibri" w:hAnsi="Calibri"/>
                <w:b w:val="false"/>
                <w:bCs w:val="false"/>
                <w:color w:val="333333"/>
                <w:sz w:val="18"/>
                <w:szCs w:val="18"/>
              </w:rPr>
              <w:t xml:space="preserve">·Aprobar las decisiones relacionadas con el cumplimiento de los controles.</w:t>
            </w:r>
          </w:p>
          <w:p>
            <w:pPr>
              <w:jc w:val="left"/>
            </w:pPr>
            <w:r>
              <w:rPr>
                <w:rFonts w:ascii="Calibri" w:cs="Calibri" w:eastAsia="Calibri" w:hAnsi="Calibri"/>
                <w:b w:val="false"/>
                <w:bCs w:val="false"/>
                <w:color w:val="333333"/>
                <w:sz w:val="18"/>
                <w:szCs w:val="18"/>
              </w:rPr>
              <w:t xml:space="preserve">·Responsable de validar la categorización de información.</w:t>
            </w:r>
          </w:p>
          <w:p>
            <w:pPr>
              <w:jc w:val="left"/>
            </w:pPr>
            <w:r>
              <w:rPr>
                <w:rFonts w:ascii="Calibri" w:cs="Calibri" w:eastAsia="Calibri" w:hAnsi="Calibri"/>
                <w:b w:val="false"/>
                <w:bCs w:val="false"/>
                <w:color w:val="333333"/>
                <w:sz w:val="18"/>
                <w:szCs w:val="18"/>
              </w:rPr>
              <w:t xml:space="preserve">·Revisión de las políticas y procedimientos de clasificación de la información por lo menos cada 6 meses.</w:t>
            </w:r>
          </w:p>
          <w:p>
            <w:pPr>
              <w:jc w:val="left"/>
            </w:pPr>
            <w:r>
              <w:rPr>
                <w:rFonts w:ascii="Calibri" w:cs="Calibri" w:eastAsia="Calibri" w:hAnsi="Calibri"/>
                <w:b w:val="false"/>
                <w:bCs w:val="false"/>
                <w:color w:val="333333"/>
                <w:sz w:val="18"/>
                <w:szCs w:val="18"/>
              </w:rPr>
              <w:t xml:space="preserve">·Garantizar la revisión y aplicación acciones correctivas correspondientes con la(s) política(s) de clasificación de la información.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Supervisor</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·Patrocinar y apoyar activamente el cumplimiento y difusión de los controles de clasificación de la información.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Proveedor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·Clasifica la información de acuerdo con lo establecido en esta política.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rubros_de_clasificacion" w:id="1"/>
      <w:r>
        <w:t xml:space="preserve"/>
      </w:r>
      <w:bookmarkEnd w:id="1"/>
      <w:r>
        <w:rPr>
          <w:rFonts w:ascii="Calibri" w:cs="Calibri" w:eastAsia="Calibri" w:hAnsi="Calibri"/>
          <w:b/>
          <w:bCs/>
          <w:color w:val="000000"/>
          <w:sz w:val="28"/>
          <w:szCs w:val="28"/>
        </w:rPr>
        <w:t xml:space="preserve">7. RUBROS DE CLASIFICACIÓN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Toda la información deberá ser clasificada bajo los siguientes criterios:</w:t>
      </w:r>
    </w:p>
    <w:p>
      <w:pPr>
        <w:pStyle w:val="ListParagraph"/>
        <w:numPr>
          <w:ilvl w:val="0"/>
          <w:numId w:val="1"/>
        </w:numPr>
        <w:spacing w:line="276"/>
        <w:jc w:val="left"/>
      </w:pPr>
      <w:r>
        <w:rPr>
          <w:rFonts w:ascii="Calibri" w:cs="Calibri" w:eastAsia="Calibri" w:hAnsi="Calibri"/>
          <w:b/>
          <w:bCs/>
          <w:color w:val="333333"/>
          <w:sz w:val="20"/>
          <w:szCs w:val="20"/>
        </w:rPr>
        <w:t xml:space="preserve">INFORMACION PÚBLICA</w:t>
      </w:r>
      <w:r>
        <w:rPr>
          <w:rFonts w:ascii="Calibri" w:cs="Calibri" w:eastAsia="Calibri" w:hAnsi="Calibri"/>
          <w:b w:val="false"/>
          <w:bCs w:val="false"/>
          <w:color w:val="333333"/>
          <w:sz w:val="20"/>
          <w:szCs w:val="20"/>
        </w:rPr>
        <w:t xml:space="preserve">: Información de uso general que por su contenido o contexto no requiere de protección especial y su distribución pública ha sido permitida a través de canales autorizados por la empresa. Es la información que no es considerada como protegida, cuyo acceso al público es permanente, libre, fácil, gratuito y expedito. También se considera información pública, la información de libre acceso que debe publicarse y difundirse de manera universal, permanente, actualizada y, en el caso de la información electrónica, a través de formatos amigables para el colaborador, sin que se requiera solicitud de parte interesada. El propietario de los datos será el responsable de clasificar su información.</w:t>
      </w:r>
    </w:p>
    <w:p>
      <w:pPr>
        <w:pStyle w:val="ListParagraph"/>
        <w:numPr>
          <w:ilvl w:val="0"/>
          <w:numId w:val="1"/>
        </w:numPr>
        <w:spacing w:line="276"/>
        <w:jc w:val="left"/>
      </w:pPr>
      <w:r>
        <w:rPr>
          <w:rFonts w:ascii="Calibri" w:cs="Calibri" w:eastAsia="Calibri" w:hAnsi="Calibri"/>
          <w:b/>
          <w:bCs/>
          <w:color w:val="333333"/>
          <w:sz w:val="20"/>
          <w:szCs w:val="20"/>
        </w:rPr>
        <w:t xml:space="preserve">INFORMACION RESERVADA</w:t>
      </w:r>
      <w:r>
        <w:rPr>
          <w:rFonts w:ascii="Calibri" w:cs="Calibri" w:eastAsia="Calibri" w:hAnsi="Calibri"/>
          <w:b w:val="false"/>
          <w:bCs w:val="false"/>
          <w:color w:val="333333"/>
          <w:sz w:val="20"/>
          <w:szCs w:val="20"/>
        </w:rPr>
        <w:t xml:space="preserve">: Se considera información cuya divulgación debe ser restringida únicamente al personal que la requiere conocer, previa autorización del responsable de la misma.</w:t>
      </w:r>
    </w:p>
    <w:p>
      <w:pPr>
        <w:pStyle w:val="ListParagraph"/>
        <w:numPr>
          <w:ilvl w:val="0"/>
          <w:numId w:val="1"/>
        </w:numPr>
        <w:spacing w:line="276"/>
        <w:jc w:val="left"/>
      </w:pPr>
      <w:r>
        <w:rPr>
          <w:rFonts w:ascii="Calibri" w:cs="Calibri" w:eastAsia="Calibri" w:hAnsi="Calibri"/>
          <w:b/>
          <w:bCs/>
          <w:color w:val="333333"/>
          <w:sz w:val="20"/>
          <w:szCs w:val="20"/>
        </w:rPr>
        <w:t xml:space="preserve">INFORMACION CONFIDENCIAL</w:t>
      </w:r>
      <w:r>
        <w:rPr>
          <w:rFonts w:ascii="Calibri" w:cs="Calibri" w:eastAsia="Calibri" w:hAnsi="Calibri"/>
          <w:b w:val="false"/>
          <w:bCs w:val="false"/>
          <w:color w:val="333333"/>
          <w:sz w:val="20"/>
          <w:szCs w:val="20"/>
        </w:rPr>
        <w:t xml:space="preserve">: Este tipo de información es protegida, intransferible e indelegable, queda prohibido su acceso, distribución, comercialización, publicación y difusión general de forma permanente, con excepción de las autoridades competentes que, conforme a la ley, tengan acceso a ella, y de los particulares titulares de dicha información. Es el más alto nivel de clasificación de la información y debe ser utilizado sobre la premisa de que la divulgación de la misma está estrictamente limitada y predeterminada a un número restringido de personas que asumen la responsabilidad de protegerla.</w:t>
      </w:r>
    </w:p>
    <w:p>
      <w:r>
        <w:t xml:space="preserve"> </w:t>
      </w:r>
    </w:p>
    <w:p>
      <w:pPr>
        <w:pStyle w:val="Heading1"/>
        <w:pBdr>
          <w:bottom w:val="single" w:color="D9D9D9" w:sz="4" w:space="8"/>
        </w:pBdr>
        <w:spacing w:after="200" w:before="400" w:line="240"/>
      </w:pPr>
      <w:bookmarkStart w:name="section_7_lineamientos_para_la_clasificacion" w:id="1"/>
      <w:r>
        <w:t xml:space="preserve"/>
      </w:r>
      <w:bookmarkEnd w:id="1"/>
      <w:r>
        <w:rPr>
          <w:rFonts w:ascii="Calibri" w:cs="Calibri" w:eastAsia="Calibri" w:hAnsi="Calibri"/>
          <w:b/>
          <w:bCs/>
          <w:color w:val="000000"/>
          <w:sz w:val="28"/>
          <w:szCs w:val="28"/>
        </w:rPr>
        <w:t xml:space="preserve">8. LINEAMIENTOS PARA LA CLASIFICACIÓN</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Identificación en el Origen</w:t>
      </w:r>
      <w:r>
        <w:rPr>
          <w:rFonts w:ascii="Calibri" w:cs="Calibri" w:eastAsia="Calibri" w:hAnsi="Calibri"/>
          <w:b w:val="false"/>
          <w:bCs w:val="false"/>
          <w:color w:val="333333"/>
          <w:sz w:val="20"/>
          <w:szCs w:val="20"/>
        </w:rPr>
        <w:t xml:space="preserve">: El creador de la información debe asignarle una categoría al momento de su generación.</w:t>
      </w:r>
    </w:p>
    <w:p>
      <w:pPr>
        <w:pStyle w:val="ListParagraph"/>
        <w:numPr>
          <w:ilvl w:val="0"/>
          <w:numId w:val="1"/>
        </w:numPr>
        <w:spacing w:line="276"/>
        <w:jc w:val="left"/>
      </w:pPr>
      <w:r>
        <w:rPr>
          <w:rFonts w:ascii="Calibri" w:cs="Calibri" w:eastAsia="Calibri" w:hAnsi="Calibri"/>
          <w:b/>
          <w:bCs/>
          <w:color w:val="333333"/>
          <w:sz w:val="20"/>
          <w:szCs w:val="20"/>
        </w:rPr>
        <w:t xml:space="preserve">Principio de Mayor Restricción</w:t>
      </w:r>
      <w:r>
        <w:rPr>
          <w:rFonts w:ascii="Calibri" w:cs="Calibri" w:eastAsia="Calibri" w:hAnsi="Calibri"/>
          <w:b w:val="false"/>
          <w:bCs w:val="false"/>
          <w:color w:val="333333"/>
          <w:sz w:val="20"/>
          <w:szCs w:val="20"/>
        </w:rPr>
        <w:t xml:space="preserve">: En caso de duda sobre la categoría, se aplicará el nivel de protección superior inmediato hasta que el propietario defina su estatus.</w:t>
      </w:r>
    </w:p>
    <w:p>
      <w:pPr>
        <w:pStyle w:val="ListParagraph"/>
        <w:numPr>
          <w:ilvl w:val="0"/>
          <w:numId w:val="1"/>
        </w:numPr>
        <w:spacing w:line="276"/>
        <w:jc w:val="left"/>
      </w:pPr>
      <w:r>
        <w:rPr>
          <w:rFonts w:ascii="Calibri" w:cs="Calibri" w:eastAsia="Calibri" w:hAnsi="Calibri"/>
          <w:b/>
          <w:bCs/>
          <w:color w:val="333333"/>
          <w:sz w:val="20"/>
          <w:szCs w:val="20"/>
        </w:rPr>
        <w:t xml:space="preserve">Etiquetado Obligatorio</w:t>
      </w:r>
      <w:r>
        <w:rPr>
          <w:rFonts w:ascii="Calibri" w:cs="Calibri" w:eastAsia="Calibri" w:hAnsi="Calibri"/>
          <w:b w:val="false"/>
          <w:bCs w:val="false"/>
          <w:color w:val="333333"/>
          <w:sz w:val="20"/>
          <w:szCs w:val="20"/>
        </w:rPr>
        <w:t xml:space="preserve">: Toda información digital en bases de datos o documentos físicos debe incluir una leyenda o metadato que indique su rubro de clasificación.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documentos considerados por la empresa como información </w:t>
      </w:r>
      <w:r>
        <w:rPr>
          <w:rFonts w:ascii="Calibri" w:cs="Calibri" w:eastAsia="Calibri" w:hAnsi="Calibri"/>
          <w:b/>
          <w:bCs/>
          <w:color w:val="333333"/>
          <w:sz w:val="20"/>
          <w:szCs w:val="20"/>
        </w:rPr>
        <w:t xml:space="preserve">CONFIDENCIAL </w:t>
      </w:r>
      <w:r>
        <w:rPr>
          <w:rFonts w:ascii="Calibri" w:cs="Calibri" w:eastAsia="Calibri" w:hAnsi="Calibri"/>
          <w:b w:val="false"/>
          <w:bCs w:val="false"/>
          <w:color w:val="333333"/>
          <w:sz w:val="20"/>
          <w:szCs w:val="20"/>
        </w:rPr>
        <w:t xml:space="preserve">cuando provengan de un tercero son:</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Contratos en general.</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Identificaciones personales (INE, Pasaporte, Cédula profesional, etc.)</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Órdenes de compra.</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Cotizaciones.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Datos personales, ya sea persona física o moral.</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Documentos legales.</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Comprobantes fiscales digitales.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otro tipo de información, proveniente del tercero, será categorizada como </w:t>
      </w:r>
      <w:r>
        <w:rPr>
          <w:rFonts w:ascii="Calibri" w:cs="Calibri" w:eastAsia="Calibri" w:hAnsi="Calibri"/>
          <w:b/>
          <w:bCs/>
          <w:color w:val="333333"/>
          <w:sz w:val="20"/>
          <w:szCs w:val="20"/>
        </w:rPr>
        <w:t xml:space="preserve">RESERVADA </w:t>
      </w:r>
      <w:r>
        <w:rPr>
          <w:rFonts w:ascii="Calibri" w:cs="Calibri" w:eastAsia="Calibri" w:hAnsi="Calibri"/>
          <w:b w:val="false"/>
          <w:bCs w:val="false"/>
          <w:color w:val="333333"/>
          <w:sz w:val="20"/>
          <w:szCs w:val="20"/>
        </w:rPr>
        <w:t xml:space="preserve">(salvo especificación en contrario del tercero).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 el supuesto de que el proveedor, no haya realizado una categorización de la información enviada, la persona que tiene la relación directa con el proveedor (Como contratante) deberá realizar dicha clasificación, de acuerdo con lo establecido en esta política, previniendo y enterando al proveedor de la categorización que se ha hecho de su información, para que pueda tratarla de la misma forma y recordándole que ellos son los encargados de categorizar la información enviada.</w:t>
      </w:r>
    </w:p>
    <w:p>
      <w:r>
        <w:t xml:space="preserve"> </w:t>
      </w:r>
    </w:p>
    <w:p>
      <w:pPr>
        <w:pStyle w:val="Heading1"/>
        <w:pBdr>
          <w:bottom w:val="single" w:color="D9D9D9" w:sz="4" w:space="8"/>
        </w:pBdr>
        <w:spacing w:after="200" w:before="400" w:line="240"/>
      </w:pPr>
      <w:bookmarkStart w:name="section_8_penalizaciones_por_incumplimiento_de_lo_establecido_en_la_politica" w:id="1"/>
      <w:r>
        <w:t xml:space="preserve"/>
      </w:r>
      <w:bookmarkEnd w:id="1"/>
      <w:r>
        <w:rPr>
          <w:rFonts w:ascii="Calibri" w:cs="Calibri" w:eastAsia="Calibri" w:hAnsi="Calibri"/>
          <w:b/>
          <w:bCs/>
          <w:color w:val="000000"/>
          <w:sz w:val="28"/>
          <w:szCs w:val="28"/>
        </w:rPr>
        <w:t xml:space="preserve">9. PENALIZACIONES POR INCUMPLIMIENTO DE LO ESTABLECIDO EN LA POLÍTICA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la gravedad de la falta:</w:t>
      </w:r>
    </w:p>
    <w:p>
      <w:pPr>
        <w:spacing w:after="120" w:before="0" w:line="276"/>
        <w:jc w:val="left"/>
      </w:pPr>
      <w:r>
        <w:rPr>
          <w:rFonts w:ascii="Calibri" w:cs="Calibri" w:eastAsia="Calibri" w:hAnsi="Calibri"/>
          <w:b/>
          <w:bCs/>
          <w:color w:val="333333"/>
          <w:sz w:val="20"/>
          <w:szCs w:val="20"/>
        </w:rPr>
        <w:t xml:space="preserve">Faltas Leves</w:t>
      </w:r>
      <w:r>
        <w:rPr>
          <w:rFonts w:ascii="Calibri" w:cs="Calibri" w:eastAsia="Calibri" w:hAnsi="Calibri"/>
          <w:b w:val="false"/>
          <w:bCs w:val="false"/>
          <w:color w:val="333333"/>
          <w:sz w:val="20"/>
          <w:szCs w:val="20"/>
        </w:rPr>
        <w:t xml:space="preserve"> (Ej. Omisión de lectura de boletines de seguridad): Amonestación verbal y re-capacitación inmediata sobre la importancia de la inteligencia de amenazas.</w:t>
      </w:r>
    </w:p>
    <w:p>
      <w:pPr>
        <w:spacing w:after="120" w:before="0" w:line="276"/>
        <w:jc w:val="left"/>
      </w:pPr>
      <w:r>
        <w:rPr>
          <w:rFonts w:ascii="Calibri" w:cs="Calibri" w:eastAsia="Calibri" w:hAnsi="Calibri"/>
          <w:b/>
          <w:bCs/>
          <w:color w:val="333333"/>
          <w:sz w:val="20"/>
          <w:szCs w:val="20"/>
        </w:rPr>
        <w:t xml:space="preserve">Faltas Graves</w:t>
      </w:r>
      <w:r>
        <w:rPr>
          <w:rFonts w:ascii="Calibri" w:cs="Calibri" w:eastAsia="Calibri" w:hAnsi="Calibri"/>
          <w:b w:val="false"/>
          <w:bCs w:val="false"/>
          <w:color w:val="333333"/>
          <w:sz w:val="20"/>
          <w:szCs w:val="20"/>
        </w:rPr>
        <w:t xml:space="preserve"> (Ej. Permitir la expiración de suscripciones críticas o no reportar una alerta de vulnerabilidad detectada en los boletines): Amonestación por escrito con copia al expediente laboral y posible suspensión de funciones relacionadas con la administración de sistemas.</w:t>
      </w:r>
    </w:p>
    <w:p>
      <w:pPr>
        <w:spacing w:after="120" w:before="0" w:line="276"/>
        <w:jc w:val="left"/>
      </w:pPr>
      <w:r>
        <w:rPr>
          <w:rFonts w:ascii="Calibri" w:cs="Calibri" w:eastAsia="Calibri" w:hAnsi="Calibri"/>
          <w:b/>
          <w:bCs/>
          <w:color w:val="333333"/>
          <w:sz w:val="20"/>
          <w:szCs w:val="20"/>
        </w:rPr>
        <w:t xml:space="preserve">Faltas Críticas</w:t>
      </w:r>
      <w:r>
        <w:rPr>
          <w:rFonts w:ascii="Calibri" w:cs="Calibri" w:eastAsia="Calibri" w:hAnsi="Calibri"/>
          <w:b w:val="false"/>
          <w:bCs w:val="false"/>
          <w:color w:val="333333"/>
          <w:sz w:val="20"/>
          <w:szCs w:val="20"/>
        </w:rPr>
        <w:t xml:space="preserve"> (Ej. Omisión deliberada que resulte en la materialización de un riesgo por no seguir las alertas de los grupos de interés):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9_lineamientos_para_situaciones_fortuitas" w:id="1"/>
      <w:r>
        <w:t xml:space="preserve"/>
      </w:r>
      <w:bookmarkEnd w:id="1"/>
      <w:r>
        <w:rPr>
          <w:rFonts w:ascii="Calibri" w:cs="Calibri" w:eastAsia="Calibri" w:hAnsi="Calibri"/>
          <w:b/>
          <w:bCs/>
          <w:color w:val="000000"/>
          <w:sz w:val="28"/>
          <w:szCs w:val="28"/>
        </w:rPr>
        <w:t xml:space="preserve">10. LINEAMIENTOS PARA SITUACIONES FORTUITAS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Ante eventos imprevistos (fugas de datos, hackeos o desastres naturales):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priorizará el resguardo y recuperación de la información Reservada y Confidencial.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se detecta que información clasificada ha sido expuesta, se activará de inmediato el protocolo de </w:t>
      </w:r>
      <w:r>
        <w:rPr>
          <w:rFonts w:ascii="Calibri" w:cs="Calibri" w:eastAsia="Calibri" w:hAnsi="Calibri"/>
          <w:b/>
          <w:bCs/>
          <w:color w:val="333333"/>
          <w:sz w:val="20"/>
          <w:szCs w:val="20"/>
        </w:rPr>
        <w:t xml:space="preserve">notificación al SAT</w:t>
      </w:r>
    </w:p>
    <w:p>
      <w:r>
        <w:t xml:space="preserve"> </w:t>
      </w:r>
    </w:p>
    <w:p>
      <w:pPr>
        <w:pStyle w:val="Heading1"/>
        <w:pBdr>
          <w:bottom w:val="single" w:color="D9D9D9" w:sz="4" w:space="8"/>
        </w:pBdr>
        <w:spacing w:after="200" w:before="400" w:line="240"/>
      </w:pPr>
      <w:bookmarkStart w:name="section_10_aspectos_de_clasificacion_de_la_informacion_para_proveedores" w:id="1"/>
      <w:r>
        <w:t xml:space="preserve"/>
      </w:r>
      <w:bookmarkEnd w:id="1"/>
      <w:r>
        <w:rPr>
          <w:rFonts w:ascii="Calibri" w:cs="Calibri" w:eastAsia="Calibri" w:hAnsi="Calibri"/>
          <w:b/>
          <w:bCs/>
          <w:color w:val="000000"/>
          <w:sz w:val="28"/>
          <w:szCs w:val="28"/>
        </w:rPr>
        <w:t xml:space="preserve">11. ASPECTOS DE CLASIFICACIÓN DE LA INFORMACIÓN PARA PROVEEDORES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proveedor que por sus actividades maneje información reservada o confidencial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deberá ser categorizada y tratada por el proveedor de acuerdo con lo descrito en esta política. Del mismo modo, los reportes o cualquier información que el proveedor genere usando documentación o información provista por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 ser tratada y categorizada con el mismo tipo de manejo e importancia.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proveedores que usen o tengan acceso a información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deben tener firmado un contrato con cláusulas de confidencialidad que eviten la divulgación y/o mal uso de la información propiedad de la empresa.</w:t>
      </w:r>
    </w:p>
    <w:p>
      <w:r>
        <w:t xml:space="preserve"> </w:t>
      </w:r>
    </w:p>
    <w:p>
      <w:pPr>
        <w:pStyle w:val="Heading1"/>
        <w:pBdr>
          <w:bottom w:val="single" w:color="D9D9D9" w:sz="4" w:space="8"/>
        </w:pBdr>
        <w:spacing w:after="200" w:before="400" w:line="240"/>
      </w:pPr>
      <w:bookmarkStart w:name="section_11_clausulas_de_clasificacion_de_la_informacion_de_proveedores" w:id="1"/>
      <w:r>
        <w:t xml:space="preserve"/>
      </w:r>
      <w:bookmarkEnd w:id="1"/>
      <w:r>
        <w:rPr>
          <w:rFonts w:ascii="Calibri" w:cs="Calibri" w:eastAsia="Calibri" w:hAnsi="Calibri"/>
          <w:b/>
          <w:bCs/>
          <w:color w:val="000000"/>
          <w:sz w:val="28"/>
          <w:szCs w:val="28"/>
        </w:rPr>
        <w:t xml:space="preserve">12. CLÁUSULAS DE CLASIFICACIÓN DE LA INFORMACIÓN DE PROVEEDORES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documentos deberán contar con la clasificación definida por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documentos físicos deberán ser resguardados en archiveros, cajoneras o similares, que cuenten con algún medio de protección para su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documentos digitales deberán ser guardados en carpetas separadas, de acuerdo con la clasificación definida, dentro del repositorio digital de trabajo del responsable del activo.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 momento de establecer cualquier relación comercial con algún proveedor y antes de compartir información categorizada como </w:t>
      </w:r>
      <w:r>
        <w:rPr>
          <w:rFonts w:ascii="Calibri" w:cs="Calibri" w:eastAsia="Calibri" w:hAnsi="Calibri"/>
          <w:b/>
          <w:bCs/>
          <w:color w:val="333333"/>
          <w:sz w:val="20"/>
          <w:szCs w:val="20"/>
        </w:rPr>
        <w:t xml:space="preserve">CONFIDENCIAL</w:t>
      </w:r>
      <w:r>
        <w:rPr>
          <w:rFonts w:ascii="Calibri" w:cs="Calibri" w:eastAsia="Calibri" w:hAnsi="Calibri"/>
          <w:b w:val="false"/>
          <w:bCs w:val="false"/>
          <w:color w:val="333333"/>
          <w:sz w:val="20"/>
          <w:szCs w:val="20"/>
        </w:rPr>
        <w:t xml:space="preserve">, se deberá de compartir, vía correo electrónico, la presente política, así como contar con un acuerdo de confidencialidad, debidamente firmado, con la idea de que conozca las directrices de tratamiento de información y se comprometa legalmente a su uso adecuado.</w:t>
      </w:r>
    </w:p>
    <w:p>
      <w:r>
        <w:t xml:space="preserve"> </w:t>
      </w:r>
    </w:p>
    <w:p>
      <w:pPr>
        <w:pStyle w:val="Heading1"/>
        <w:pBdr>
          <w:bottom w:val="single" w:color="D9D9D9" w:sz="4" w:space="8"/>
        </w:pBdr>
        <w:spacing w:after="200" w:before="400" w:line="240"/>
      </w:pPr>
      <w:bookmarkStart w:name="section_12_manual_de_clasificacion_de_la_informacion_para_proveedores" w:id="1"/>
      <w:r>
        <w:t xml:space="preserve"/>
      </w:r>
      <w:bookmarkEnd w:id="1"/>
      <w:r>
        <w:rPr>
          <w:rFonts w:ascii="Calibri" w:cs="Calibri" w:eastAsia="Calibri" w:hAnsi="Calibri"/>
          <w:b/>
          <w:bCs/>
          <w:color w:val="000000"/>
          <w:sz w:val="28"/>
          <w:szCs w:val="28"/>
        </w:rPr>
        <w:t xml:space="preserve">13. MANUAL DE CLASIFICACIÓN DE LA INFORMACIÓN PARA PROVEEDORES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información generada por proveedores y enviada 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deberá ser categorizada de acuerdo con lo especificado en la presente política, otorgando la etiqueta de </w:t>
      </w:r>
      <w:r>
        <w:rPr>
          <w:rFonts w:ascii="Calibri" w:cs="Calibri" w:eastAsia="Calibri" w:hAnsi="Calibri"/>
          <w:b/>
          <w:bCs/>
          <w:color w:val="333333"/>
          <w:sz w:val="20"/>
          <w:szCs w:val="20"/>
        </w:rPr>
        <w:t xml:space="preserve">CONFIDENCIAL, REVERSADA o PÚBLICA, </w:t>
      </w:r>
      <w:r>
        <w:rPr>
          <w:rFonts w:ascii="Calibri" w:cs="Calibri" w:eastAsia="Calibri" w:hAnsi="Calibri"/>
          <w:b w:val="false"/>
          <w:bCs w:val="false"/>
          <w:color w:val="333333"/>
          <w:sz w:val="20"/>
          <w:szCs w:val="20"/>
        </w:rPr>
        <w:t xml:space="preserve">según sea el caso</w:t>
      </w:r>
      <w:r>
        <w:rPr>
          <w:rFonts w:ascii="Calibri" w:cs="Calibri" w:eastAsia="Calibri" w:hAnsi="Calibri"/>
          <w:b/>
          <w:bCs/>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deberá de tomar en cuenta lo dictado en esta política en cuanto a la categorización por defecto que se le dará a la información recibida por terceros, especificada en el apartado: </w:t>
      </w:r>
      <w:r>
        <w:rPr>
          <w:rFonts w:ascii="Calibri" w:cs="Calibri" w:eastAsia="Calibri" w:hAnsi="Calibri"/>
          <w:b/>
          <w:bCs/>
          <w:color w:val="333333"/>
          <w:sz w:val="20"/>
          <w:szCs w:val="20"/>
        </w:rPr>
        <w:t xml:space="preserve">Directrices de clasificación de información para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etiquetado deberá ser a cargo de cada proveedor, de acuerdo con lo siguiente:</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El nombre de los documentos digitales deberá contener los siguientes prefijos:</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Información reservada: </w:t>
      </w:r>
      <w:r>
        <w:rPr>
          <w:rFonts w:ascii="Calibri" w:cs="Calibri" w:eastAsia="Calibri" w:hAnsi="Calibri"/>
          <w:b/>
          <w:bCs/>
          <w:color w:val="333333"/>
          <w:sz w:val="20"/>
          <w:szCs w:val="20"/>
        </w:rPr>
        <w:t xml:space="preserve">R_ (nombre del documento)</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Información confidencial: </w:t>
      </w:r>
      <w:r>
        <w:rPr>
          <w:rFonts w:ascii="Calibri" w:cs="Calibri" w:eastAsia="Calibri" w:hAnsi="Calibri"/>
          <w:b/>
          <w:bCs/>
          <w:color w:val="333333"/>
          <w:sz w:val="20"/>
          <w:szCs w:val="20"/>
        </w:rPr>
        <w:t xml:space="preserve">C_ (nombre del documento)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oDocumentos electrónicos: Deberán de contar con las palabras correspondientes, que indiquen la clasificación de dicha información, debiendo cumplir con las siguientes características.</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Marca de agua.</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Tamaño de la letra: 50.</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Fuente: Calibri.</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Correos electrónicos manuales y/o automáticos: Deberán contar con la siguiente leyenda como pie de página del mensaje:</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Este mensaje es propiedad de </w:t>
      </w:r>
      <w:r>
        <w:rPr>
          <w:rFonts w:ascii="Calibri" w:cs="Calibri" w:eastAsia="Calibri" w:hAnsi="Calibri"/>
          <w:b/>
          <w:bCs/>
          <w:color w:val="333333"/>
          <w:sz w:val="20"/>
          <w:szCs w:val="20"/>
        </w:rPr>
        <w:t xml:space="preserve">NOMBRE DEL PROVEEDOR</w:t>
      </w:r>
      <w:r>
        <w:rPr>
          <w:rFonts w:ascii="Calibri" w:cs="Calibri" w:eastAsia="Calibri" w:hAnsi="Calibri"/>
          <w:b w:val="false"/>
          <w:bCs w:val="false"/>
          <w:color w:val="333333"/>
          <w:sz w:val="20"/>
          <w:szCs w:val="20"/>
        </w:rPr>
        <w:t xml:space="preserve"> de carácter “</w:t>
      </w:r>
      <w:r>
        <w:rPr>
          <w:rFonts w:ascii="Calibri" w:cs="Calibri" w:eastAsia="Calibri" w:hAnsi="Calibri"/>
          <w:b/>
          <w:bCs/>
          <w:color w:val="333333"/>
          <w:sz w:val="20"/>
          <w:szCs w:val="20"/>
        </w:rPr>
        <w:t xml:space="preserve">Tipo de clasificación”, </w:t>
      </w:r>
      <w:r>
        <w:rPr>
          <w:rFonts w:ascii="Calibri" w:cs="Calibri" w:eastAsia="Calibri" w:hAnsi="Calibri"/>
          <w:b w:val="false"/>
          <w:bCs w:val="false"/>
          <w:color w:val="333333"/>
          <w:sz w:val="20"/>
          <w:szCs w:val="20"/>
        </w:rPr>
        <w:t xml:space="preserve">el mismo ha sido enviado por medios electrónicos y es de competencia exclusiva de las personas que intervienen en la comunicación y cualquier uso no debidamente autorizado es ilegal.</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Tamaño de la letra: 8.</w:t>
      </w:r>
    </w:p>
    <w:p>
      <w:pPr>
        <w:pStyle w:val="ListParagraph"/>
        <w:numPr>
          <w:ilvl w:val="2"/>
          <w:numId w:val="1"/>
        </w:numPr>
        <w:spacing w:line="276"/>
        <w:jc w:val="left"/>
      </w:pPr>
      <w:r>
        <w:rPr>
          <w:rFonts w:ascii="Calibri" w:cs="Calibri" w:eastAsia="Calibri" w:hAnsi="Calibri"/>
          <w:b w:val="false"/>
          <w:bCs w:val="false"/>
          <w:color w:val="333333"/>
          <w:sz w:val="20"/>
          <w:szCs w:val="20"/>
        </w:rPr>
        <w:t xml:space="preserve">Fuente: Calibri.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Este mensaje es propiedad de </w:t>
      </w:r>
      <w:r>
        <w:rPr>
          <w:rFonts w:ascii="Calibri" w:cs="Calibri" w:eastAsia="Calibri" w:hAnsi="Calibri"/>
          <w:b/>
          <w:bCs/>
          <w:color w:val="333333"/>
          <w:sz w:val="20"/>
          <w:szCs w:val="20"/>
        </w:rPr>
        <w:t xml:space="preserve">NOMBRE DEL PROVEEDOR</w:t>
      </w:r>
      <w:r>
        <w:rPr>
          <w:rFonts w:ascii="Calibri" w:cs="Calibri" w:eastAsia="Calibri" w:hAnsi="Calibri"/>
          <w:b w:val="false"/>
          <w:bCs w:val="false"/>
          <w:color w:val="333333"/>
          <w:sz w:val="20"/>
          <w:szCs w:val="20"/>
        </w:rPr>
        <w:t xml:space="preserve"> de carácter “</w:t>
      </w:r>
      <w:r>
        <w:rPr>
          <w:rFonts w:ascii="Calibri" w:cs="Calibri" w:eastAsia="Calibri" w:hAnsi="Calibri"/>
          <w:b/>
          <w:bCs/>
          <w:color w:val="333333"/>
          <w:sz w:val="20"/>
          <w:szCs w:val="20"/>
        </w:rPr>
        <w:t xml:space="preserve">Tipo de clasificación”, </w:t>
      </w:r>
      <w:r>
        <w:rPr>
          <w:rFonts w:ascii="Calibri" w:cs="Calibri" w:eastAsia="Calibri" w:hAnsi="Calibri"/>
          <w:b w:val="false"/>
          <w:bCs w:val="false"/>
          <w:color w:val="333333"/>
          <w:sz w:val="20"/>
          <w:szCs w:val="20"/>
        </w:rPr>
        <w:t xml:space="preserve">el mismo ha sido enviado por medios electrónicos y es de competencia exclusiva de las personas que intervienen en la comunicación y cualquier uso no debidamente autorizado es ilegal.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Documentos generados manualmente: Deberán contar con la siguiente leyenda como pie de página del mensaje:</w:t>
      </w:r>
      <w:r>
        <w:br/>
      </w:r>
      <w:r>
        <w:rPr>
          <w:rFonts w:ascii="Calibri" w:cs="Calibri" w:eastAsia="Calibri" w:hAnsi="Calibri"/>
          <w:b w:val="false"/>
          <w:bCs w:val="false"/>
          <w:color w:val="333333"/>
          <w:sz w:val="20"/>
          <w:szCs w:val="20"/>
        </w:rPr>
        <w:t xml:space="preserve">Este mensaje es propiedad de </w:t>
      </w:r>
      <w:r>
        <w:rPr>
          <w:rFonts w:ascii="Calibri" w:cs="Calibri" w:eastAsia="Calibri" w:hAnsi="Calibri"/>
          <w:b/>
          <w:bCs/>
          <w:color w:val="333333"/>
          <w:sz w:val="20"/>
          <w:szCs w:val="20"/>
        </w:rPr>
        <w:t xml:space="preserve">NOMBRE DEL PROVEEDOR</w:t>
      </w:r>
      <w:r>
        <w:rPr>
          <w:rFonts w:ascii="Calibri" w:cs="Calibri" w:eastAsia="Calibri" w:hAnsi="Calibri"/>
          <w:b w:val="false"/>
          <w:bCs w:val="false"/>
          <w:color w:val="333333"/>
          <w:sz w:val="20"/>
          <w:szCs w:val="20"/>
        </w:rPr>
        <w:t xml:space="preserve"> de carácter </w:t>
      </w:r>
      <w:r>
        <w:rPr>
          <w:rFonts w:ascii="Calibri" w:cs="Calibri" w:eastAsia="Calibri" w:hAnsi="Calibri"/>
          <w:b/>
          <w:bCs/>
          <w:color w:val="333333"/>
          <w:sz w:val="20"/>
          <w:szCs w:val="20"/>
        </w:rPr>
        <w:t xml:space="preserve">“Tipo de clasificación”</w:t>
      </w:r>
      <w:r>
        <w:rPr>
          <w:rFonts w:ascii="Calibri" w:cs="Calibri" w:eastAsia="Calibri" w:hAnsi="Calibri"/>
          <w:b w:val="false"/>
          <w:bCs w:val="false"/>
          <w:color w:val="333333"/>
          <w:sz w:val="20"/>
          <w:szCs w:val="20"/>
        </w:rPr>
        <w:t xml:space="preserve">, el mismo ha sido enviado por medios electrónicos, y es de competencia exclusiva de las personas que intervienen en la comunicación y cualquier uso no debidamente autorizado es ilegal.</w:t>
      </w:r>
      <w:r>
        <w:br/>
      </w:r>
      <w:r>
        <w:rPr>
          <w:rFonts w:ascii="Calibri" w:cs="Calibri" w:eastAsia="Calibri" w:hAnsi="Calibri"/>
          <w:b w:val="false"/>
          <w:bCs w:val="false"/>
          <w:color w:val="333333"/>
          <w:sz w:val="20"/>
          <w:szCs w:val="20"/>
        </w:rPr>
        <w:t xml:space="preserve">En caso de requerirse alguna reclasificación de información se deberá notificar a su contacto directo en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por medio de un correo electrónico en escrito libre, especificando la nueva clasificación y las razones.</w:t>
      </w:r>
      <w:r>
        <w:br/>
      </w:r>
    </w:p>
    <w:p>
      <w:r>
        <w:t xml:space="preserve"> </w:t>
      </w:r>
    </w:p>
    <w:p>
      <w:pPr>
        <w:pStyle w:val="Heading1"/>
        <w:pBdr>
          <w:bottom w:val="single" w:color="D9D9D9" w:sz="4" w:space="8"/>
        </w:pBdr>
        <w:spacing w:after="200" w:before="400" w:line="240"/>
      </w:pPr>
      <w:bookmarkStart w:name="section_13_periodicidad_de_revision" w:id="1"/>
      <w:r>
        <w:t xml:space="preserve"/>
      </w:r>
      <w:bookmarkEnd w:id="1"/>
      <w:r>
        <w:rPr>
          <w:rFonts w:ascii="Calibri" w:cs="Calibri" w:eastAsia="Calibri" w:hAnsi="Calibri"/>
          <w:b/>
          <w:bCs/>
          <w:color w:val="000000"/>
          <w:sz w:val="28"/>
          <w:szCs w:val="28"/>
        </w:rPr>
        <w:t xml:space="preserve">14.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4_glosario" w:id="1"/>
      <w:r>
        <w:rPr>
          <w:rFonts w:ascii="Calibri" w:cs="Calibri" w:eastAsia="Calibri" w:hAnsi="Calibri"/>
          <w:b/>
          <w:bCs/>
          <w:color w:val="000000"/>
          <w:sz w:val="28"/>
          <w:szCs w:val="28"/>
        </w:rPr>
        <w:t xml:space="preserve">15.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clasificación de la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PO-SF-009</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clasificación de la información</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clasificacin de la informacin</dc:title>
  <dc:subject>Poltica</dc:subject>
  <dc:creator>Administrador MAPLINKS</dc:creator>
  <cp:keywords>PO-SF-009</cp:keywords>
  <dc:description>Documento PO-SF-009</dc:description>
  <cp:lastModifiedBy>Administrador MAPLINKS</cp:lastModifiedBy>
  <cp:revision>1</cp:revision>
  <dcterms:created xsi:type="dcterms:W3CDTF">2026-09-30T21:32:51.885Z</dcterms:created>
  <dcterms:modified xsi:type="dcterms:W3CDTF">2026-09-30T21:32:51.885Z</dcterms:modified>
</cp:coreProperties>
</file>

<file path=docProps/custom.xml><?xml version="1.0" encoding="utf-8"?>
<Properties xmlns="http://schemas.openxmlformats.org/officeDocument/2006/custom-properties" xmlns:vt="http://schemas.openxmlformats.org/officeDocument/2006/docPropsVTypes"/>
</file>