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7/4/2026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el procedimiento de retorno de activos tangibles e intangibles es el conjunto de actividades, controles, validaciones y evidencias documentales mediante las cuales la empresa recupera, cancela, reasigna, resguarda o confirma la devolución de todos los recursos físicos, lógicos, documentales y tecnológicos entregados a un empleado, contratista o tercero autorizado, cuando concluya su relación contractual o cuando cambien sus actividades, roles o responsabilidades.</w:t>
      </w:r>
    </w:p>
    <w:p>
      <w:pPr>
        <w:spacing w:after="120" w:before="0" w:line="276"/>
        <w:jc w:val="both"/>
      </w:pP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entiende por </w:t>
      </w:r>
      <w:r>
        <w:rPr>
          <w:rFonts w:ascii="Calibri" w:cs="Calibri" w:eastAsia="Calibri" w:hAnsi="Calibri"/>
          <w:b/>
          <w:bCs/>
          <w:color w:val="333333"/>
          <w:sz w:val="20"/>
          <w:szCs w:val="20"/>
        </w:rPr>
        <w:t xml:space="preserve">activos tangibles</w:t>
      </w:r>
      <w:r>
        <w:rPr>
          <w:rFonts w:ascii="Calibri" w:cs="Calibri" w:eastAsia="Calibri" w:hAnsi="Calibri"/>
          <w:b w:val="false"/>
          <w:bCs w:val="false"/>
          <w:color w:val="333333"/>
          <w:sz w:val="20"/>
          <w:szCs w:val="20"/>
        </w:rPr>
        <w:t xml:space="preserve"> aquellos bienes físicos asignados para el desempeño de funciones, tales como equipos de cómputo, teléfonos, tabletas, credenciales, tokens, llaves, medios de almacenamiento, documentos físicos, manuales, identificaciones, tarjetas de acceso y cualquier otro recurso material.</w:t>
      </w:r>
    </w:p>
    <w:p>
      <w:pPr>
        <w:spacing w:after="120" w:before="0" w:line="276"/>
        <w:jc w:val="both"/>
      </w:pP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entiende por </w:t>
      </w:r>
      <w:r>
        <w:rPr>
          <w:rFonts w:ascii="Calibri" w:cs="Calibri" w:eastAsia="Calibri" w:hAnsi="Calibri"/>
          <w:b/>
          <w:bCs/>
          <w:color w:val="333333"/>
          <w:sz w:val="20"/>
          <w:szCs w:val="20"/>
        </w:rPr>
        <w:t xml:space="preserve">activos intangibles</w:t>
      </w:r>
      <w:r>
        <w:rPr>
          <w:rFonts w:ascii="Calibri" w:cs="Calibri" w:eastAsia="Calibri" w:hAnsi="Calibri"/>
          <w:b w:val="false"/>
          <w:bCs w:val="false"/>
          <w:color w:val="333333"/>
          <w:sz w:val="20"/>
          <w:szCs w:val="20"/>
        </w:rPr>
        <w:t xml:space="preserve"> aquellos recursos no físicos vinculados a la operación, seguridad o administración de la empresa, tales como cuentas de usuario, correos institucionales, accesos a sistemas, perfiles, privilegios, licencias asignadas, certificados, claves, contraseñas, accesos VPN, repositorios, carpetas compartidas, información digital, bases de datos, configuraciones, autorizaciones y cualquier otro derecho de uso o acceso lógico relacionado con la operación del monedero electrónico.</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el proceso formal mediante el cual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asegura el retorno, recuperación, cancelación, reasignación y control de los activos tangibles e intangibles asignados al personal, con el fin de proteger la confidencialidad, integridad y disponibilidad de la información, prevenir accesos no autorizados, evitar pérdida de activos y mantener trazabilidad documental en casos de baja del personal o de cambios en actividades, roles y responsabilidades</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El presente procedimiento aplica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Todos los empleados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Personal temporal, externo o contratado por terceros, cuando tenga asignados activos o accesos;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Casos de terminación de la relación contractual;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Cambios de puesto, funciones, nivel de acceso, jefatura, área, responsabilidades o privilegios;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Activos vinculados directa o indirectamente con la operación del monedero electrónico.</w:t>
      </w:r>
    </w:p>
    <w:p>
      <w:pPr>
        <w:spacing w:after="120" w:before="0" w:line="276"/>
        <w:jc w:val="both"/>
      </w:pPr>
      <w:r>
        <w:rPr>
          <w:rFonts w:ascii="Calibri" w:cs="Calibri" w:eastAsia="Calibri" w:hAnsi="Calibri"/>
          <w:b w:val="false"/>
          <w:bCs w:val="false"/>
          <w:color w:val="333333"/>
          <w:sz w:val="20"/>
          <w:szCs w:val="20"/>
        </w:rPr>
        <w:t xml:space="preserve">El alcance comprende tanto activos físicos como recursos lógicos o documentales relacionados con sistemas, redes, servicios de red, correo institucional, herramientas administrativas, plataformas en la nube, repositorios, bases de datos, credenciales, medios removibles, documentación interna y cualquier otro recurso entregado para el desempeño del puesto.</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FO-SF-040 — FO-SF-0040_Notificacion_activacion_retorno_activos_SENDERO_FUEL.docx</w:t>
      </w:r>
    </w:p>
    <w:p>
      <w:pPr>
        <w:spacing w:after="60" w:before="60" w:line="276"/>
      </w:pPr>
      <w:r>
        <w:rPr>
          <w:rFonts w:ascii="Calibri" w:cs="Calibri" w:eastAsia="Calibri" w:hAnsi="Calibri"/>
          <w:b w:val="false"/>
          <w:bCs w:val="false"/>
          <w:color w:val="333333"/>
          <w:sz w:val="20"/>
          <w:szCs w:val="20"/>
        </w:rPr>
        <w:t xml:space="preserve">• FO-SF-041 — FO-SF-0041_Inventario_activos_asignados_colaborador_SENDERO_FUEL.docx</w:t>
      </w:r>
    </w:p>
    <w:p>
      <w:pPr>
        <w:spacing w:after="60" w:before="60" w:line="276"/>
      </w:pPr>
      <w:r>
        <w:rPr>
          <w:rFonts w:ascii="Calibri" w:cs="Calibri" w:eastAsia="Calibri" w:hAnsi="Calibri"/>
          <w:b w:val="false"/>
          <w:bCs w:val="false"/>
          <w:color w:val="333333"/>
          <w:sz w:val="20"/>
          <w:szCs w:val="20"/>
        </w:rPr>
        <w:t xml:space="preserve">• FO-SF-042 — FO-SF-0042_Devolucion_activos_tangibles_SENDERO_FUEL.docx</w:t>
      </w:r>
    </w:p>
    <w:p>
      <w:pPr>
        <w:spacing w:after="60" w:before="60" w:line="276"/>
      </w:pPr>
      <w:r>
        <w:rPr>
          <w:rFonts w:ascii="Calibri" w:cs="Calibri" w:eastAsia="Calibri" w:hAnsi="Calibri"/>
          <w:b w:val="false"/>
          <w:bCs w:val="false"/>
          <w:color w:val="333333"/>
          <w:sz w:val="20"/>
          <w:szCs w:val="20"/>
        </w:rPr>
        <w:t xml:space="preserve">• FO-SF-043 — FO-SF-0043_Solicitud_cancelacion_reasignacion_activos_intangibles_SENDERO_FUEL.docx</w:t>
      </w:r>
    </w:p>
    <w:p>
      <w:pPr>
        <w:spacing w:after="60" w:before="60" w:line="276"/>
      </w:pPr>
      <w:r>
        <w:rPr>
          <w:rFonts w:ascii="Calibri" w:cs="Calibri" w:eastAsia="Calibri" w:hAnsi="Calibri"/>
          <w:b w:val="false"/>
          <w:bCs w:val="false"/>
          <w:color w:val="333333"/>
          <w:sz w:val="20"/>
          <w:szCs w:val="20"/>
        </w:rPr>
        <w:t xml:space="preserve">• FO-SF-044 — FO-SF-0044_Acta_reasignacion_activos_SENDERO_FUEL.docx</w:t>
      </w:r>
    </w:p>
    <w:p>
      <w:pPr>
        <w:spacing w:after="60" w:before="60" w:line="276"/>
      </w:pPr>
      <w:r>
        <w:rPr>
          <w:rFonts w:ascii="Calibri" w:cs="Calibri" w:eastAsia="Calibri" w:hAnsi="Calibri"/>
          <w:b w:val="false"/>
          <w:bCs w:val="false"/>
          <w:color w:val="333333"/>
          <w:sz w:val="20"/>
          <w:szCs w:val="20"/>
        </w:rPr>
        <w:t xml:space="preserve">• FO-SF-045 — FO-SF-0045_Registro_incidencias_devolucion_activos_SENDERO_FUEL.docx</w:t>
      </w:r>
    </w:p>
    <w:p>
      <w:pPr>
        <w:spacing w:after="60" w:before="60" w:line="276"/>
      </w:pPr>
      <w:r>
        <w:rPr>
          <w:rFonts w:ascii="Calibri" w:cs="Calibri" w:eastAsia="Calibri" w:hAnsi="Calibri"/>
          <w:b w:val="false"/>
          <w:bCs w:val="false"/>
          <w:color w:val="333333"/>
          <w:sz w:val="20"/>
          <w:szCs w:val="20"/>
        </w:rPr>
        <w:t xml:space="preserve">• FO-SF-046 — FO-SF-0046_Cierre_proceso_retorno_activos_SENDERO_FUEL.docx</w:t>
      </w:r>
    </w:p>
    <w:p>
      <w:pPr>
        <w:spacing w:after="60" w:before="60" w:line="276"/>
      </w:pPr>
      <w:r>
        <w:rPr>
          <w:rFonts w:ascii="Calibri" w:cs="Calibri" w:eastAsia="Calibri" w:hAnsi="Calibri"/>
          <w:b w:val="false"/>
          <w:bCs w:val="false"/>
          <w:color w:val="333333"/>
          <w:sz w:val="20"/>
          <w:szCs w:val="20"/>
        </w:rPr>
        <w:t xml:space="preserve">• req_16_PR_SF_009.pdf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Dirección General</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·Aprobar el presente procedimiento.</w:t>
            </w:r>
          </w:p>
          <w:p>
            <w:pPr>
              <w:jc w:val="left"/>
            </w:pPr>
            <w:r>
              <w:rPr>
                <w:rFonts w:ascii="Calibri" w:cs="Calibri" w:eastAsia="Calibri" w:hAnsi="Calibri"/>
                <w:b w:val="false"/>
                <w:bCs w:val="false"/>
                <w:color w:val="333333"/>
                <w:sz w:val="18"/>
                <w:szCs w:val="18"/>
              </w:rPr>
              <w:t xml:space="preserve">·Asegurar que exista coordinación entre áreas para su cumplimiento.</w:t>
            </w:r>
          </w:p>
          <w:p>
            <w:pPr>
              <w:jc w:val="left"/>
            </w:pPr>
            <w:r>
              <w:rPr>
                <w:rFonts w:ascii="Calibri" w:cs="Calibri" w:eastAsia="Calibri" w:hAnsi="Calibri"/>
                <w:b w:val="false"/>
                <w:bCs w:val="false"/>
                <w:color w:val="333333"/>
                <w:sz w:val="18"/>
                <w:szCs w:val="18"/>
              </w:rPr>
              <w:t xml:space="preserve">·Autorizar excepciones cuando proceda.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Recursos Humanos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·Notificar oportunamente la baja o cambio de rol del colaborador.</w:t>
            </w:r>
          </w:p>
          <w:p>
            <w:pPr>
              <w:jc w:val="left"/>
            </w:pPr>
            <w:r>
              <w:rPr>
                <w:rFonts w:ascii="Calibri" w:cs="Calibri" w:eastAsia="Calibri" w:hAnsi="Calibri"/>
                <w:b w:val="false"/>
                <w:bCs w:val="false"/>
                <w:color w:val="333333"/>
                <w:sz w:val="18"/>
                <w:szCs w:val="18"/>
              </w:rPr>
              <w:t xml:space="preserve">·Coordinar administrativamente el proceso de retorno de activos.</w:t>
            </w:r>
          </w:p>
          <w:p>
            <w:pPr>
              <w:jc w:val="left"/>
            </w:pPr>
            <w:r>
              <w:rPr>
                <w:rFonts w:ascii="Calibri" w:cs="Calibri" w:eastAsia="Calibri" w:hAnsi="Calibri"/>
                <w:b w:val="false"/>
                <w:bCs w:val="false"/>
                <w:color w:val="333333"/>
                <w:sz w:val="18"/>
                <w:szCs w:val="18"/>
              </w:rPr>
              <w:t xml:space="preserve">·Integrar el expediente documental del evento.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Jefe inmediato / área usuaria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·Identificar los activos asignados al colaborador.</w:t>
            </w:r>
          </w:p>
          <w:p>
            <w:pPr>
              <w:jc w:val="left"/>
            </w:pPr>
            <w:r>
              <w:rPr>
                <w:rFonts w:ascii="Calibri" w:cs="Calibri" w:eastAsia="Calibri" w:hAnsi="Calibri"/>
                <w:b w:val="false"/>
                <w:bCs w:val="false"/>
                <w:color w:val="333333"/>
                <w:sz w:val="18"/>
                <w:szCs w:val="18"/>
              </w:rPr>
              <w:t xml:space="preserve">·Confirmar qué activos deben ser devueltos, reasignados o cancelados.</w:t>
            </w:r>
          </w:p>
          <w:p>
            <w:pPr>
              <w:jc w:val="left"/>
            </w:pPr>
            <w:r>
              <w:rPr>
                <w:rFonts w:ascii="Calibri" w:cs="Calibri" w:eastAsia="Calibri" w:hAnsi="Calibri"/>
                <w:b w:val="false"/>
                <w:bCs w:val="false"/>
                <w:color w:val="333333"/>
                <w:sz w:val="18"/>
                <w:szCs w:val="18"/>
              </w:rPr>
              <w:t xml:space="preserve">·Validar la entrega-recepción de funciones y recursos operativos.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TI / Administradores de Sistemas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·Revocar, restringir o reasignar accesos lógicos.</w:t>
            </w:r>
          </w:p>
          <w:p>
            <w:pPr>
              <w:jc w:val="left"/>
            </w:pPr>
            <w:r>
              <w:rPr>
                <w:rFonts w:ascii="Calibri" w:cs="Calibri" w:eastAsia="Calibri" w:hAnsi="Calibri"/>
                <w:b w:val="false"/>
                <w:bCs w:val="false"/>
                <w:color w:val="333333"/>
                <w:sz w:val="18"/>
                <w:szCs w:val="18"/>
              </w:rPr>
              <w:t xml:space="preserve">·Confirmar la recuperación o desactivación de cuentas, perfiles, licencias y privilegios.</w:t>
            </w:r>
          </w:p>
          <w:p>
            <w:pPr>
              <w:jc w:val="left"/>
            </w:pPr>
            <w:r>
              <w:rPr>
                <w:rFonts w:ascii="Calibri" w:cs="Calibri" w:eastAsia="Calibri" w:hAnsi="Calibri"/>
                <w:b w:val="false"/>
                <w:bCs w:val="false"/>
                <w:color w:val="333333"/>
                <w:sz w:val="18"/>
                <w:szCs w:val="18"/>
              </w:rPr>
              <w:t xml:space="preserve">·Generar evidencia técnica del cierre o ajuste de accesos.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Control Interno / Cumplimiento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·Verificar que el proceso quede completo y documentado.</w:t>
            </w:r>
          </w:p>
          <w:p>
            <w:pPr>
              <w:jc w:val="left"/>
            </w:pPr>
            <w:r>
              <w:rPr>
                <w:rFonts w:ascii="Calibri" w:cs="Calibri" w:eastAsia="Calibri" w:hAnsi="Calibri"/>
                <w:b w:val="false"/>
                <w:bCs w:val="false"/>
                <w:color w:val="333333"/>
                <w:sz w:val="18"/>
                <w:szCs w:val="18"/>
              </w:rPr>
              <w:t xml:space="preserve">·Dar seguimiento a desviaciones o activos no recuperados.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Empleado / usuario saliente o transferido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·Devolver oportunamente los activos bajo su resguardo.</w:t>
            </w:r>
          </w:p>
          <w:p>
            <w:pPr>
              <w:jc w:val="left"/>
            </w:pPr>
            <w:r>
              <w:rPr>
                <w:rFonts w:ascii="Calibri" w:cs="Calibri" w:eastAsia="Calibri" w:hAnsi="Calibri"/>
                <w:b w:val="false"/>
                <w:bCs w:val="false"/>
                <w:color w:val="333333"/>
                <w:sz w:val="18"/>
                <w:szCs w:val="18"/>
              </w:rPr>
              <w:t xml:space="preserve">·Entregar información, documentos, credenciales y accesos asociados a sus funciones.</w:t>
            </w:r>
          </w:p>
          <w:p>
            <w:pPr>
              <w:jc w:val="left"/>
            </w:pPr>
            <w:r>
              <w:rPr>
                <w:rFonts w:ascii="Calibri" w:cs="Calibri" w:eastAsia="Calibri" w:hAnsi="Calibri"/>
                <w:b w:val="false"/>
                <w:bCs w:val="false"/>
                <w:color w:val="333333"/>
                <w:sz w:val="18"/>
                <w:szCs w:val="18"/>
              </w:rPr>
              <w:t xml:space="preserve">·Firmar las constancias o formatos aplicables.</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supuestos_de_aplicacion" w:id="1"/>
      <w:r>
        <w:t xml:space="preserve"/>
      </w:r>
      <w:bookmarkEnd w:id="1"/>
      <w:r>
        <w:rPr>
          <w:rFonts w:ascii="Calibri" w:cs="Calibri" w:eastAsia="Calibri" w:hAnsi="Calibri"/>
          <w:b/>
          <w:bCs/>
          <w:color w:val="000000"/>
          <w:sz w:val="28"/>
          <w:szCs w:val="28"/>
        </w:rPr>
        <w:t xml:space="preserve">7. SUPUESTOS DE APLICACIÓN</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Este procedimiento deberá activarse cuando ocurra cualquiera de los siguientes eventos: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Renuncia;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Despido;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Terminación de contrato;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Conclusión de proyecto o servicios;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 de área;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 de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Modificación de actividades, roles o responsabilidades;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Retiro de funciones críticas;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Suspensión o limitación de privilegios;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Cualquier otro evento que obligue a recuperar o ajustar activos asignados.</w:t>
      </w:r>
    </w:p>
    <w:p>
      <w:r>
        <w:t xml:space="preserve"> </w:t>
      </w:r>
    </w:p>
    <w:p>
      <w:pPr>
        <w:pStyle w:val="Heading1"/>
        <w:pBdr>
          <w:bottom w:val="single" w:color="D9D9D9" w:sz="4" w:space="8"/>
        </w:pBdr>
        <w:spacing w:after="200" w:before="400" w:line="240"/>
      </w:pPr>
      <w:bookmarkStart w:name="section_7_desarrollo_del_procedimiento" w:id="1"/>
      <w:r>
        <w:t xml:space="preserve"/>
      </w:r>
      <w:bookmarkEnd w:id="1"/>
      <w:r>
        <w:rPr>
          <w:rFonts w:ascii="Calibri" w:cs="Calibri" w:eastAsia="Calibri" w:hAnsi="Calibri"/>
          <w:b/>
          <w:bCs/>
          <w:color w:val="000000"/>
          <w:sz w:val="28"/>
          <w:szCs w:val="28"/>
        </w:rPr>
        <w:t xml:space="preserve">8. DESARROLLO DEL PROCEDIMIENTO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El procedimiento inicia cuando Recursos Humanos, la Dirección o el jefe inmediato informan formalmente: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terminación de la relación contractual; 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modificación de actividades, roles y responsabilidades de un colaborador.</w:t>
      </w:r>
    </w:p>
    <w:p>
      <w:pPr>
        <w:spacing w:after="120" w:before="0" w:line="276"/>
        <w:jc w:val="left"/>
      </w:pPr>
      <w:r>
        <w:rPr>
          <w:rFonts w:ascii="Calibri" w:cs="Calibri" w:eastAsia="Calibri" w:hAnsi="Calibri"/>
          <w:b w:val="false"/>
          <w:bCs w:val="false"/>
          <w:color w:val="333333"/>
          <w:sz w:val="20"/>
          <w:szCs w:val="20"/>
        </w:rPr>
        <w:t xml:space="preserve">La notificación deberá indicar fecha efectiva del evento, puesto, área y nivel de criticidad del usuario.</w:t>
      </w:r>
    </w:p>
    <w:p>
      <w:pPr>
        <w:pStyle w:val="Heading2"/>
        <w:spacing w:after="200" w:before="400" w:line="240"/>
        <w:jc w:val="left"/>
      </w:pPr>
      <w:r>
        <w:rPr>
          <w:rFonts w:ascii="Calibri" w:cs="Calibri" w:eastAsia="Calibri" w:hAnsi="Calibri"/>
          <w:b/>
          <w:bCs/>
          <w:color w:val="000000"/>
          <w:sz w:val="20"/>
          <w:szCs w:val="20"/>
        </w:rPr>
        <w:t xml:space="preserve">Identificación de activos asignados</w:t>
      </w:r>
    </w:p>
    <w:p>
      <w:pPr>
        <w:spacing w:after="120" w:before="0" w:line="276"/>
        <w:jc w:val="both"/>
      </w:pPr>
      <w:r>
        <w:rPr>
          <w:rFonts w:ascii="Calibri" w:cs="Calibri" w:eastAsia="Calibri" w:hAnsi="Calibri"/>
          <w:b w:val="false"/>
          <w:bCs w:val="false"/>
          <w:color w:val="333333"/>
          <w:sz w:val="20"/>
          <w:szCs w:val="20"/>
        </w:rPr>
        <w:t xml:space="preserve">Una vez iniciado el procedimiento, el jefe inmediato, Recursos Humanos, TI y las áreas responsables deberán identificar la totalidad de activos asignados al colaborador, incluyendo: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Equipo de cómputo;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Teléfonos celulares;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Tabletas;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Credenciales físicas;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Llaves;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Tokens de autenticación;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Dispositivos de almacenamiento;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Documentos físicos;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Cuentas de correo;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Accesos a sistemas;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VPN;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Licencias;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Privilegios administrativos;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Carpetas compartidas;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Repositorios;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Información digital bajo resguardo.</w:t>
      </w:r>
    </w:p>
    <w:p>
      <w:pPr>
        <w:pStyle w:val="Heading2"/>
        <w:spacing w:after="200" w:before="400" w:line="240"/>
        <w:jc w:val="left"/>
      </w:pPr>
      <w:r>
        <w:rPr>
          <w:rFonts w:ascii="Calibri" w:cs="Calibri" w:eastAsia="Calibri" w:hAnsi="Calibri"/>
          <w:b/>
          <w:bCs/>
          <w:color w:val="000000"/>
          <w:sz w:val="20"/>
          <w:szCs w:val="20"/>
        </w:rPr>
        <w:t xml:space="preserve">Clasificación del tipo de salida o movimiento</w:t>
      </w:r>
    </w:p>
    <w:p>
      <w:pPr>
        <w:spacing w:after="120" w:before="0" w:line="276"/>
        <w:jc w:val="left"/>
      </w:pPr>
      <w:r>
        <w:rPr>
          <w:rFonts w:ascii="Calibri" w:cs="Calibri" w:eastAsia="Calibri" w:hAnsi="Calibri"/>
          <w:b w:val="false"/>
          <w:bCs w:val="false"/>
          <w:color w:val="333333"/>
          <w:sz w:val="20"/>
          <w:szCs w:val="20"/>
        </w:rPr>
        <w:t xml:space="preserve">El caso deberá clasificarse como: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Baja definitiva; 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 de actividades, roles y responsabilidades.</w:t>
      </w:r>
    </w:p>
    <w:p>
      <w:pPr>
        <w:spacing w:after="120" w:before="0" w:line="276"/>
        <w:jc w:val="left"/>
      </w:pPr>
      <w:r>
        <w:rPr>
          <w:rFonts w:ascii="Calibri" w:cs="Calibri" w:eastAsia="Calibri" w:hAnsi="Calibri"/>
          <w:b w:val="false"/>
          <w:bCs w:val="false"/>
          <w:color w:val="333333"/>
          <w:sz w:val="20"/>
          <w:szCs w:val="20"/>
        </w:rPr>
        <w:t xml:space="preserve">Si se trata de cambio de rol, deberá definirse qué activos se devuelven, cuáles se mantienen y cuáles deberán ser reasignados o actualizados.</w:t>
      </w:r>
    </w:p>
    <w:p>
      <w:pPr>
        <w:pStyle w:val="Heading2"/>
        <w:spacing w:after="200" w:before="400" w:line="240"/>
        <w:jc w:val="left"/>
      </w:pPr>
      <w:r>
        <w:rPr>
          <w:rFonts w:ascii="Calibri" w:cs="Calibri" w:eastAsia="Calibri" w:hAnsi="Calibri"/>
          <w:b/>
          <w:bCs/>
          <w:color w:val="000000"/>
          <w:sz w:val="20"/>
          <w:szCs w:val="20"/>
        </w:rPr>
        <w:t xml:space="preserve">Recuperación de activos tangibles</w:t>
      </w:r>
    </w:p>
    <w:p>
      <w:pPr>
        <w:spacing w:after="120" w:before="0" w:line="276"/>
        <w:jc w:val="both"/>
      </w:pPr>
      <w:r>
        <w:rPr>
          <w:rFonts w:ascii="Calibri" w:cs="Calibri" w:eastAsia="Calibri" w:hAnsi="Calibri"/>
          <w:b w:val="false"/>
          <w:bCs w:val="false"/>
          <w:color w:val="333333"/>
          <w:sz w:val="20"/>
          <w:szCs w:val="20"/>
        </w:rPr>
        <w:t xml:space="preserve">Cuando proceda la devolución física,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deberá recuperar los activos tangibles asignados al colaborador, verificando: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Identificación del activo;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Número de inventario o serie, si aplica;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Estado físico;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Integridad de accesorios;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Existencia de daños, faltantes o anomalías;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y hora de entrega.</w:t>
      </w:r>
    </w:p>
    <w:p>
      <w:pPr>
        <w:spacing w:after="120" w:before="0" w:line="276"/>
        <w:jc w:val="left"/>
      </w:pPr>
      <w:r>
        <w:rPr>
          <w:rFonts w:ascii="Calibri" w:cs="Calibri" w:eastAsia="Calibri" w:hAnsi="Calibri"/>
          <w:b w:val="false"/>
          <w:bCs w:val="false"/>
          <w:color w:val="333333"/>
          <w:sz w:val="20"/>
          <w:szCs w:val="20"/>
        </w:rPr>
        <w:t xml:space="preserve">Toda devolución deberá quedar documentada en el formato correspondiente.</w:t>
      </w:r>
    </w:p>
    <w:p>
      <w:pPr>
        <w:pStyle w:val="Heading2"/>
        <w:spacing w:after="200" w:before="400" w:line="240"/>
        <w:jc w:val="left"/>
      </w:pPr>
      <w:r>
        <w:rPr>
          <w:rFonts w:ascii="Calibri" w:cs="Calibri" w:eastAsia="Calibri" w:hAnsi="Calibri"/>
          <w:b/>
          <w:bCs/>
          <w:color w:val="000000"/>
          <w:sz w:val="20"/>
          <w:szCs w:val="20"/>
        </w:rPr>
        <w:t xml:space="preserve">Retorno o cancelación de activos intangibles</w:t>
      </w:r>
    </w:p>
    <w:p>
      <w:pPr>
        <w:spacing w:after="120" w:before="0" w:line="276"/>
        <w:jc w:val="left"/>
      </w:pPr>
      <w:r>
        <w:rPr>
          <w:rFonts w:ascii="Calibri" w:cs="Calibri" w:eastAsia="Calibri" w:hAnsi="Calibri"/>
          <w:b w:val="false"/>
          <w:bCs w:val="false"/>
          <w:color w:val="333333"/>
          <w:sz w:val="20"/>
          <w:szCs w:val="20"/>
        </w:rPr>
        <w:t xml:space="preserve">TI y Seguridad de la Información deberán asegurar, según corresponda: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Deshabilitación de cuentas de usuario;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Revocación de accesos a correo institucional;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Cancelación de acceso a sistemas, aplicativos y servicios de red;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Revocación de VPN;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Retiro de privilegios administrativos;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Cancelación o reasignación de licencias;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Cambio o revocación de contraseñas compartidas, cuando existan;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Recuperación de certificados, tokens lógicos o accesos especiales;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Validación de que el usuario ya no conserve acceso no autorizado.</w:t>
      </w:r>
    </w:p>
    <w:p>
      <w:pPr>
        <w:pStyle w:val="Heading2"/>
        <w:spacing w:after="200" w:before="400" w:line="240"/>
        <w:jc w:val="left"/>
      </w:pPr>
      <w:r>
        <w:rPr>
          <w:rFonts w:ascii="Calibri" w:cs="Calibri" w:eastAsia="Calibri" w:hAnsi="Calibri"/>
          <w:b/>
          <w:bCs/>
          <w:color w:val="000000"/>
          <w:sz w:val="20"/>
          <w:szCs w:val="20"/>
        </w:rPr>
        <w:t xml:space="preserve">Resguardo y transferencia de información</w:t>
      </w:r>
    </w:p>
    <w:p>
      <w:pPr>
        <w:spacing w:after="120" w:before="0" w:line="276"/>
        <w:jc w:val="left"/>
      </w:pPr>
      <w:r>
        <w:rPr>
          <w:rFonts w:ascii="Calibri" w:cs="Calibri" w:eastAsia="Calibri" w:hAnsi="Calibri"/>
          <w:b w:val="false"/>
          <w:bCs w:val="false"/>
          <w:color w:val="333333"/>
          <w:sz w:val="20"/>
          <w:szCs w:val="20"/>
        </w:rPr>
        <w:t xml:space="preserve">Antes del cierre del proceso, el jefe inmediato y TI deberán asegurar que la información necesaria para la continuidad operativa: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Sea transferida al responsable entrante;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Quede resguardada en repositorios institucionales;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permanezca únicamente en dispositivos o cuentas del usuario saliente;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mantenga íntegra y disponible.</w:t>
      </w:r>
    </w:p>
    <w:p>
      <w:pPr>
        <w:pStyle w:val="Heading2"/>
        <w:spacing w:after="200" w:before="400" w:line="240"/>
        <w:jc w:val="left"/>
      </w:pPr>
      <w:r>
        <w:rPr>
          <w:rFonts w:ascii="Calibri" w:cs="Calibri" w:eastAsia="Calibri" w:hAnsi="Calibri"/>
          <w:b/>
          <w:bCs/>
          <w:color w:val="000000"/>
          <w:sz w:val="20"/>
          <w:szCs w:val="20"/>
        </w:rPr>
        <w:t xml:space="preserve">Reasignación de activos</w:t>
      </w:r>
    </w:p>
    <w:p>
      <w:pPr>
        <w:spacing w:after="120" w:before="0" w:line="276"/>
        <w:jc w:val="left"/>
      </w:pPr>
      <w:r>
        <w:rPr>
          <w:rFonts w:ascii="Calibri" w:cs="Calibri" w:eastAsia="Calibri" w:hAnsi="Calibri"/>
          <w:b w:val="false"/>
          <w:bCs w:val="false"/>
          <w:color w:val="333333"/>
          <w:sz w:val="20"/>
          <w:szCs w:val="20"/>
        </w:rPr>
        <w:t xml:space="preserve">Cuando un activo no sea devuelto por tratarse de un cambio de rol o continuidad operativa, deberá formalizarse su reasignación, indicando: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Nuevo responsable;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de transferencia;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Estado del activo;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Permisos o accesos habilitados;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Condiciones de uso a partir del cambio.</w:t>
      </w:r>
    </w:p>
    <w:p>
      <w:pPr>
        <w:pStyle w:val="Heading2"/>
        <w:spacing w:after="200" w:before="400" w:line="240"/>
        <w:jc w:val="left"/>
      </w:pPr>
      <w:r>
        <w:rPr>
          <w:rFonts w:ascii="Calibri" w:cs="Calibri" w:eastAsia="Calibri" w:hAnsi="Calibri"/>
          <w:b/>
          <w:bCs/>
          <w:color w:val="000000"/>
          <w:sz w:val="20"/>
          <w:szCs w:val="20"/>
        </w:rPr>
        <w:t xml:space="preserve">Validación de cumplimiento</w:t>
      </w:r>
    </w:p>
    <w:p>
      <w:pPr>
        <w:spacing w:after="120" w:before="0" w:line="276"/>
        <w:jc w:val="left"/>
      </w:pPr>
      <w:r>
        <w:rPr>
          <w:rFonts w:ascii="Calibri" w:cs="Calibri" w:eastAsia="Calibri" w:hAnsi="Calibri"/>
          <w:b w:val="false"/>
          <w:bCs w:val="false"/>
          <w:color w:val="333333"/>
          <w:sz w:val="20"/>
          <w:szCs w:val="20"/>
        </w:rPr>
        <w:t xml:space="preserve">Control Interno, Seguridad de la Información o el área que designe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deberá validar 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existan activos pendientes de devolución sin justificación;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accesos hayan sido efectivamente cancelados o ajustados;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información crítica se haya resguardado;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expediente del caso esté completo.</w:t>
      </w:r>
    </w:p>
    <w:p>
      <w:pPr>
        <w:pStyle w:val="Heading2"/>
        <w:spacing w:after="200" w:before="400" w:line="240"/>
        <w:jc w:val="left"/>
      </w:pPr>
      <w:r>
        <w:rPr>
          <w:rFonts w:ascii="Calibri" w:cs="Calibri" w:eastAsia="Calibri" w:hAnsi="Calibri"/>
          <w:b/>
          <w:bCs/>
          <w:color w:val="000000"/>
          <w:sz w:val="20"/>
          <w:szCs w:val="20"/>
        </w:rPr>
        <w:t xml:space="preserve">Tratamiento de incidencias</w:t>
      </w:r>
    </w:p>
    <w:p>
      <w:pPr>
        <w:spacing w:after="120" w:before="0" w:line="276"/>
        <w:jc w:val="left"/>
      </w:pPr>
      <w:r>
        <w:rPr>
          <w:rFonts w:ascii="Calibri" w:cs="Calibri" w:eastAsia="Calibri" w:hAnsi="Calibri"/>
          <w:b w:val="false"/>
          <w:bCs w:val="false"/>
          <w:color w:val="333333"/>
          <w:sz w:val="20"/>
          <w:szCs w:val="20"/>
        </w:rPr>
        <w:t xml:space="preserve">Si durante el proceso se detectan: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Activos extraviados;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Daño a equipos;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Accesos aún vigentes;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Falta de documentación;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Información no transferida;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Medios removibles no localizados;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Credenciales no devueltas;</w:t>
      </w:r>
    </w:p>
    <w:p>
      <w:pPr>
        <w:spacing w:after="120" w:before="0" w:line="276"/>
        <w:jc w:val="left"/>
      </w:pPr>
      <w:r>
        <w:rPr>
          <w:rFonts w:ascii="Calibri" w:cs="Calibri" w:eastAsia="Calibri" w:hAnsi="Calibri"/>
          <w:b w:val="false"/>
          <w:bCs w:val="false"/>
          <w:color w:val="333333"/>
          <w:sz w:val="20"/>
          <w:szCs w:val="20"/>
        </w:rPr>
        <w:t xml:space="preserve">deberá abrirse el registro de incidencia correspondiente y escalarse a las áreas responsables para su regularización inmediata.</w:t>
      </w:r>
    </w:p>
    <w:p>
      <w:pPr>
        <w:pStyle w:val="Heading2"/>
        <w:spacing w:after="200" w:before="400" w:line="240"/>
        <w:jc w:val="left"/>
      </w:pPr>
      <w:r>
        <w:rPr>
          <w:rFonts w:ascii="Calibri" w:cs="Calibri" w:eastAsia="Calibri" w:hAnsi="Calibri"/>
          <w:b/>
          <w:bCs/>
          <w:color w:val="000000"/>
          <w:sz w:val="20"/>
          <w:szCs w:val="20"/>
        </w:rPr>
        <w:t xml:space="preserve">Cierre del proceso</w:t>
      </w:r>
    </w:p>
    <w:p>
      <w:pPr>
        <w:spacing w:after="120" w:before="0" w:line="276"/>
        <w:jc w:val="left"/>
      </w:pPr>
      <w:r>
        <w:rPr>
          <w:rFonts w:ascii="Calibri" w:cs="Calibri" w:eastAsia="Calibri" w:hAnsi="Calibri"/>
          <w:b w:val="false"/>
          <w:bCs w:val="false"/>
          <w:color w:val="333333"/>
          <w:sz w:val="20"/>
          <w:szCs w:val="20"/>
        </w:rPr>
        <w:t xml:space="preserve">El proceso se considerará concluido cuando: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activos tangibles hayan sido devueltos, reasignados o regularizados;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activos intangibles hayan sido cancelados, actualizados o reasignados;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Exista evidencia documental suficiente;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áreas responsables hayan emitido su conformidad de cierre.</w:t>
      </w:r>
    </w:p>
    <w:p>
      <w:r>
        <w:t xml:space="preserve"> </w:t>
      </w:r>
    </w:p>
    <w:p>
      <w:pPr>
        <w:pStyle w:val="Heading1"/>
        <w:pBdr>
          <w:bottom w:val="single" w:color="D9D9D9" w:sz="4" w:space="8"/>
        </w:pBdr>
        <w:spacing w:after="200" w:before="400" w:line="240"/>
      </w:pPr>
      <w:bookmarkStart w:name="section_8_incumplimiento" w:id="1"/>
      <w:r>
        <w:t xml:space="preserve"/>
      </w:r>
      <w:bookmarkEnd w:id="1"/>
      <w:r>
        <w:rPr>
          <w:rFonts w:ascii="Calibri" w:cs="Calibri" w:eastAsia="Calibri" w:hAnsi="Calibri"/>
          <w:b/>
          <w:bCs/>
          <w:color w:val="000000"/>
          <w:sz w:val="28"/>
          <w:szCs w:val="28"/>
        </w:rPr>
        <w:t xml:space="preserve">9. INCUMPLIMIENTO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La falta de retorno, cancelación, reasignación o documentación de activos tangibles e intangibles se considerará desviación de control interno y deberá ser atendida mediante acción correctiva inmediata, sin perjuicio de las responsabilidades administrativas, laborales o legales que resulten aplicables.</w:t>
      </w:r>
    </w:p>
    <w:p>
      <w:r>
        <w:t xml:space="preserve"> </w:t>
      </w:r>
    </w:p>
    <w:p>
      <w:pPr>
        <w:pStyle w:val="Heading1"/>
        <w:pBdr>
          <w:bottom w:val="single" w:color="D9D9D9" w:sz="4" w:space="8"/>
        </w:pBdr>
        <w:spacing w:after="200" w:before="400" w:line="240"/>
      </w:pPr>
      <w:bookmarkStart w:name="section_9_periodicidad_de_revision" w:id="1"/>
      <w:r>
        <w:t xml:space="preserve"/>
      </w:r>
      <w:bookmarkEnd w:id="1"/>
      <w:r>
        <w:rPr>
          <w:rFonts w:ascii="Calibri" w:cs="Calibri" w:eastAsia="Calibri" w:hAnsi="Calibri"/>
          <w:b/>
          <w:bCs/>
          <w:color w:val="000000"/>
          <w:sz w:val="28"/>
          <w:szCs w:val="28"/>
        </w:rPr>
        <w:t xml:space="preserve">10.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0_glosario" w:id="1"/>
      <w:r>
        <w:rPr>
          <w:rFonts w:ascii="Calibri" w:cs="Calibri" w:eastAsia="Calibri" w:hAnsi="Calibri"/>
          <w:b/>
          <w:bCs/>
          <w:color w:val="000000"/>
          <w:sz w:val="28"/>
          <w:szCs w:val="28"/>
        </w:rPr>
        <w:t xml:space="preserve">11.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PR-SF-009</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de retorno de activos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PR-SF-009</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de retorno de activos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de retorno de activos</dc:title>
  <dc:subject>Proceso</dc:subject>
  <dc:creator>Administrador MAPLINKS</dc:creator>
  <cp:keywords>PR-SF-009</cp:keywords>
  <dc:description>Documento PR-SF-009</dc:description>
  <cp:lastModifiedBy>Administrador MAPLINKS</cp:lastModifiedBy>
  <cp:revision>1</cp:revision>
  <dcterms:created xsi:type="dcterms:W3CDTF">2026-09-30T21:32:51.428Z</dcterms:created>
  <dcterms:modified xsi:type="dcterms:W3CDTF">2026-09-30T21:32:51.428Z</dcterms:modified>
</cp:coreProperties>
</file>

<file path=docProps/custom.xml><?xml version="1.0" encoding="utf-8"?>
<Properties xmlns="http://schemas.openxmlformats.org/officeDocument/2006/custom-properties" xmlns:vt="http://schemas.openxmlformats.org/officeDocument/2006/docPropsVTypes"/>
</file>