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procedimiento de terminación de la relación contractual y de gestión de cambios en actividades, roles y responsabilidades es el conjunto de actividades, controles, validaciones y evidencias documentales mediante los cuales la empresa administra de forma ordenada, segura y verificable la baja de un empleado, así como cualquier cambio interno de puesto, funciones, atribuciones, nivel de acceso o responsabilidades, con el fin de proteger la confidencialidad, integridad y disponibilidad de la información de los contribuyentes, así como los activos, sistemas, redes y servicios relacionados con la operación del monedero electrónico.</w:t>
      </w:r>
    </w:p>
    <w:p>
      <w:pPr>
        <w:spacing w:after="120" w:before="0" w:line="276"/>
        <w:jc w:val="both"/>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entiende que este procedimiento no se limita a la separación laboral, sino que también abarca los casos en que un colaborador permanece en la organización pero cambia de funciones, área, nivel de acceso o responsabilidades, ya que dichos cambios generan la necesidad de ajustar permisos, accesos, responsabilidades, activos asignados y obligaciones de seguridad.</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Establecer el proceso formal que deberá seguir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administrar: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terminación de la relación contractual con empleados;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modificación de actividades, roles y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revocación, actualización o restricción de accesos;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devolución de activos;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actualización documental y de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conservación de evidencia del proceso.</w:t>
      </w:r>
    </w:p>
    <w:p>
      <w:pPr>
        <w:spacing w:after="120" w:before="0" w:line="276"/>
        <w:jc w:val="both"/>
      </w:pPr>
      <w:r>
        <w:rPr>
          <w:rFonts w:ascii="Calibri" w:cs="Calibri" w:eastAsia="Calibri" w:hAnsi="Calibri"/>
          <w:b w:val="false"/>
          <w:bCs w:val="false"/>
          <w:color w:val="333333"/>
          <w:sz w:val="20"/>
          <w:szCs w:val="20"/>
        </w:rPr>
        <w:t xml:space="preserve">Lo anterior, con el propósito de reducir riesgos de acceso no autorizado, uso indebido de información, fuga de datos, continuidad operativa deficiente o incumplimiento de controles internos y regulatorios.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presente procedimiento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empleados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temporal, por honorarios o equivalente, cuando tenga acceso a información, sistemas o activos de la empresa;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de puesto, promociones, movimientos laterales, reasignaciones de funciones, cambios de jefatura, cambios de área, suspensión de funciones críticas o reducción/ampliación de privilegios;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Terminación voluntaria, rescisión, terminación por mutuo acuerdo, vencimiento de contrato, baja administrativa o cualquier otra forma de conclusión del vínculo laboral o contractual.</w:t>
      </w:r>
    </w:p>
    <w:p>
      <w:pPr>
        <w:spacing w:after="120" w:before="0" w:line="276"/>
        <w:jc w:val="both"/>
      </w:pPr>
      <w:r>
        <w:rPr>
          <w:rFonts w:ascii="Calibri" w:cs="Calibri" w:eastAsia="Calibri" w:hAnsi="Calibri"/>
          <w:b w:val="false"/>
          <w:bCs w:val="false"/>
          <w:color w:val="333333"/>
          <w:sz w:val="20"/>
          <w:szCs w:val="20"/>
        </w:rPr>
        <w:t xml:space="preserve">El alcance incluye especialmente a puestos con acceso a información de contribuyentes, credenciales, aplicativos, infraestructura, ambientes tecnológicos, redes, bases de datos, respaldos, reportes, servicios en nube y cualquier activo relacionado con el monedero electrónico.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FO-SF-032 — FO-SF-0032_Notificacion_terminacion_relacion_contractual_SENDERO_FUEL.docx</w:t>
      </w:r>
    </w:p>
    <w:p>
      <w:pPr>
        <w:spacing w:after="60" w:before="60" w:line="276"/>
      </w:pPr>
      <w:r>
        <w:rPr>
          <w:rFonts w:ascii="Calibri" w:cs="Calibri" w:eastAsia="Calibri" w:hAnsi="Calibri"/>
          <w:b w:val="false"/>
          <w:bCs w:val="false"/>
          <w:color w:val="333333"/>
          <w:sz w:val="20"/>
          <w:szCs w:val="20"/>
        </w:rPr>
        <w:t xml:space="preserve">• FO-SF-033 — FO-SF-0033_Notificacion_cambio_roles_responsabilidades_SENDERO_FUEL.docx</w:t>
      </w:r>
    </w:p>
    <w:p>
      <w:pPr>
        <w:spacing w:after="60" w:before="60" w:line="276"/>
      </w:pPr>
      <w:r>
        <w:rPr>
          <w:rFonts w:ascii="Calibri" w:cs="Calibri" w:eastAsia="Calibri" w:hAnsi="Calibri"/>
          <w:b w:val="false"/>
          <w:bCs w:val="false"/>
          <w:color w:val="333333"/>
          <w:sz w:val="20"/>
          <w:szCs w:val="20"/>
        </w:rPr>
        <w:t xml:space="preserve">• FO-SF-034 — FO-SF-0034_Checklist_baja_cambio_rol_SENDERO_FUEL.docx</w:t>
      </w:r>
    </w:p>
    <w:p>
      <w:pPr>
        <w:spacing w:after="60" w:before="60" w:line="276"/>
      </w:pPr>
      <w:r>
        <w:rPr>
          <w:rFonts w:ascii="Calibri" w:cs="Calibri" w:eastAsia="Calibri" w:hAnsi="Calibri"/>
          <w:b w:val="false"/>
          <w:bCs w:val="false"/>
          <w:color w:val="333333"/>
          <w:sz w:val="20"/>
          <w:szCs w:val="20"/>
        </w:rPr>
        <w:t xml:space="preserve">• FO-SF-035 — FO-SF-0035_Solicitud_revocacion_modificacion_accesos_SENDERO_FUEL.docx</w:t>
      </w:r>
    </w:p>
    <w:p>
      <w:pPr>
        <w:spacing w:after="60" w:before="60" w:line="276"/>
      </w:pPr>
      <w:r>
        <w:rPr>
          <w:rFonts w:ascii="Calibri" w:cs="Calibri" w:eastAsia="Calibri" w:hAnsi="Calibri"/>
          <w:b w:val="false"/>
          <w:bCs w:val="false"/>
          <w:color w:val="333333"/>
          <w:sz w:val="20"/>
          <w:szCs w:val="20"/>
        </w:rPr>
        <w:t xml:space="preserve">• FO-SF-036 — FO-SF-0036_Acta_entrega_recepcion_funciones_SENDERO_FUEL.docx</w:t>
      </w:r>
    </w:p>
    <w:p>
      <w:pPr>
        <w:spacing w:after="60" w:before="60" w:line="276"/>
      </w:pPr>
      <w:r>
        <w:rPr>
          <w:rFonts w:ascii="Calibri" w:cs="Calibri" w:eastAsia="Calibri" w:hAnsi="Calibri"/>
          <w:b w:val="false"/>
          <w:bCs w:val="false"/>
          <w:color w:val="333333"/>
          <w:sz w:val="20"/>
          <w:szCs w:val="20"/>
        </w:rPr>
        <w:t xml:space="preserve">• FO-SF-037 — FO-SF-0037_Constancia_devolucion_activos_SENDERO_FUEL.docx</w:t>
      </w:r>
    </w:p>
    <w:p>
      <w:pPr>
        <w:spacing w:after="60" w:before="60" w:line="276"/>
      </w:pPr>
      <w:r>
        <w:rPr>
          <w:rFonts w:ascii="Calibri" w:cs="Calibri" w:eastAsia="Calibri" w:hAnsi="Calibri"/>
          <w:b w:val="false"/>
          <w:bCs w:val="false"/>
          <w:color w:val="333333"/>
          <w:sz w:val="20"/>
          <w:szCs w:val="20"/>
        </w:rPr>
        <w:t xml:space="preserve">• FO-SF-038 — FO-SF-0038_Cierre_proceso_baja_cambio_responsabilidades_SENDERO_FUEL.docx</w:t>
      </w:r>
    </w:p>
    <w:p>
      <w:pPr>
        <w:spacing w:after="60" w:before="60" w:line="276"/>
      </w:pPr>
      <w:r>
        <w:rPr>
          <w:rFonts w:ascii="Calibri" w:cs="Calibri" w:eastAsia="Calibri" w:hAnsi="Calibri"/>
          <w:b w:val="false"/>
          <w:bCs w:val="false"/>
          <w:color w:val="333333"/>
          <w:sz w:val="20"/>
          <w:szCs w:val="20"/>
        </w:rPr>
        <w:t xml:space="preserve">• req_13_PR_SF_007.pdf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Dirección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el presente procedimiento.</w:t>
            </w:r>
          </w:p>
          <w:p>
            <w:pPr>
              <w:jc w:val="left"/>
            </w:pPr>
            <w:r>
              <w:rPr>
                <w:rFonts w:ascii="Calibri" w:cs="Calibri" w:eastAsia="Calibri" w:hAnsi="Calibri"/>
                <w:b w:val="false"/>
                <w:bCs w:val="false"/>
                <w:color w:val="333333"/>
                <w:sz w:val="18"/>
                <w:szCs w:val="18"/>
              </w:rPr>
              <w:t xml:space="preserve">·Autorizar, cuando corresponda, bajas o movimientos de puestos sensibles o críticos.</w:t>
            </w:r>
          </w:p>
          <w:p>
            <w:pPr>
              <w:jc w:val="left"/>
            </w:pPr>
            <w:r>
              <w:rPr>
                <w:rFonts w:ascii="Calibri" w:cs="Calibri" w:eastAsia="Calibri" w:hAnsi="Calibri"/>
                <w:b w:val="false"/>
                <w:bCs w:val="false"/>
                <w:color w:val="333333"/>
                <w:sz w:val="18"/>
                <w:szCs w:val="18"/>
              </w:rPr>
              <w:t xml:space="preserve">·Asegurar la aplicación transversal del procedimiento.</w:t>
            </w:r>
          </w:p>
          <w:p>
            <w:pPr>
              <w:jc w:val="left"/>
            </w:pPr>
            <w:r>
              <w:t xml:space="preserve"> </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Recursos Humanos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·Recibir, documentar y formalizar la notificación de baja o cambio de puesto.</w:t>
            </w:r>
          </w:p>
          <w:p>
            <w:pPr>
              <w:jc w:val="left"/>
            </w:pPr>
            <w:r>
              <w:rPr>
                <w:rFonts w:ascii="Calibri" w:cs="Calibri" w:eastAsia="Calibri" w:hAnsi="Calibri"/>
                <w:b w:val="false"/>
                <w:bCs w:val="false"/>
                <w:color w:val="333333"/>
                <w:sz w:val="18"/>
                <w:szCs w:val="18"/>
              </w:rPr>
              <w:t xml:space="preserve">·Coordinar el proceso administrativo de terminación o modificación de funciones.</w:t>
            </w:r>
          </w:p>
          <w:p>
            <w:pPr>
              <w:jc w:val="left"/>
            </w:pPr>
            <w:r>
              <w:rPr>
                <w:rFonts w:ascii="Calibri" w:cs="Calibri" w:eastAsia="Calibri" w:hAnsi="Calibri"/>
                <w:b w:val="false"/>
                <w:bCs w:val="false"/>
                <w:color w:val="333333"/>
                <w:sz w:val="18"/>
                <w:szCs w:val="18"/>
              </w:rPr>
              <w:t xml:space="preserve">·Integrar el expediente documental y asegurar que existan acuses, actas o constancias correspondientes.</w:t>
            </w:r>
          </w:p>
          <w:p>
            <w:pPr>
              <w:jc w:val="left"/>
            </w:pPr>
            <w:r>
              <w:rPr>
                <w:rFonts w:ascii="Calibri" w:cs="Calibri" w:eastAsia="Calibri" w:hAnsi="Calibri"/>
                <w:b w:val="false"/>
                <w:bCs w:val="false"/>
                <w:color w:val="333333"/>
                <w:sz w:val="18"/>
                <w:szCs w:val="18"/>
              </w:rPr>
              <w:t xml:space="preserve">·Notificar oportunamente a TI, Seguridad de la Información y área usuaria.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Jefe inmediato /área responsable</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·Informar formalmente la baja, transferencia o cambio de responsabilidades.</w:t>
            </w:r>
          </w:p>
          <w:p>
            <w:pPr>
              <w:jc w:val="left"/>
            </w:pPr>
            <w:r>
              <w:rPr>
                <w:rFonts w:ascii="Calibri" w:cs="Calibri" w:eastAsia="Calibri" w:hAnsi="Calibri"/>
                <w:b w:val="false"/>
                <w:bCs w:val="false"/>
                <w:color w:val="333333"/>
                <w:sz w:val="18"/>
                <w:szCs w:val="18"/>
              </w:rPr>
              <w:t xml:space="preserve">·Precisar fecha efectiva del movimiento.</w:t>
            </w:r>
          </w:p>
          <w:p>
            <w:pPr>
              <w:jc w:val="left"/>
            </w:pPr>
            <w:r>
              <w:rPr>
                <w:rFonts w:ascii="Calibri" w:cs="Calibri" w:eastAsia="Calibri" w:hAnsi="Calibri"/>
                <w:b w:val="false"/>
                <w:bCs w:val="false"/>
                <w:color w:val="333333"/>
                <w:sz w:val="18"/>
                <w:szCs w:val="18"/>
              </w:rPr>
              <w:t xml:space="preserve">·Identificar funciones que dejan de realizarse y nuevas funciones, cuando aplique.</w:t>
            </w:r>
          </w:p>
          <w:p>
            <w:pPr>
              <w:jc w:val="left"/>
            </w:pPr>
            <w:r>
              <w:rPr>
                <w:rFonts w:ascii="Calibri" w:cs="Calibri" w:eastAsia="Calibri" w:hAnsi="Calibri"/>
                <w:b w:val="false"/>
                <w:bCs w:val="false"/>
                <w:color w:val="333333"/>
                <w:sz w:val="18"/>
                <w:szCs w:val="18"/>
              </w:rPr>
              <w:t xml:space="preserve">·Confirmar la entrega o continuidad de actividades operativas.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·Evaluar el impacto del movimiento o baja sobre los accesos y riesgos de información.</w:t>
            </w:r>
          </w:p>
          <w:p>
            <w:pPr>
              <w:jc w:val="left"/>
            </w:pPr>
            <w:r>
              <w:rPr>
                <w:rFonts w:ascii="Calibri" w:cs="Calibri" w:eastAsia="Calibri" w:hAnsi="Calibri"/>
                <w:b w:val="false"/>
                <w:bCs w:val="false"/>
                <w:color w:val="333333"/>
                <w:sz w:val="18"/>
                <w:szCs w:val="18"/>
              </w:rPr>
              <w:t xml:space="preserve">·Solicitar y verificar la revocación, limitación o reasignación de permisos.</w:t>
            </w:r>
          </w:p>
          <w:p>
            <w:pPr>
              <w:jc w:val="left"/>
            </w:pPr>
            <w:r>
              <w:rPr>
                <w:rFonts w:ascii="Calibri" w:cs="Calibri" w:eastAsia="Calibri" w:hAnsi="Calibri"/>
                <w:b w:val="false"/>
                <w:bCs w:val="false"/>
                <w:color w:val="333333"/>
                <w:sz w:val="18"/>
                <w:szCs w:val="18"/>
              </w:rPr>
              <w:t xml:space="preserve">·Validar controles reforzados cuando exista acceso previo a información sensible o cuentas privilegiadas.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TI / Administración de Sistemas</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·Ejecutar la baja, modificación o restricción de cuentas de usuario, accesos, perfiles, credenciales, VPN, correo, sistemas, servicios de red y herramientas tecnológicas.</w:t>
            </w:r>
          </w:p>
          <w:p>
            <w:pPr>
              <w:jc w:val="left"/>
            </w:pPr>
            <w:r>
              <w:rPr>
                <w:rFonts w:ascii="Calibri" w:cs="Calibri" w:eastAsia="Calibri" w:hAnsi="Calibri"/>
                <w:b w:val="false"/>
                <w:bCs w:val="false"/>
                <w:color w:val="333333"/>
                <w:sz w:val="18"/>
                <w:szCs w:val="18"/>
              </w:rPr>
              <w:t xml:space="preserve">·Confirmar la fecha y hora de ejecución de los cambios.</w:t>
            </w:r>
          </w:p>
          <w:p>
            <w:pPr>
              <w:jc w:val="left"/>
            </w:pPr>
            <w:r>
              <w:rPr>
                <w:rFonts w:ascii="Calibri" w:cs="Calibri" w:eastAsia="Calibri" w:hAnsi="Calibri"/>
                <w:b w:val="false"/>
                <w:bCs w:val="false"/>
                <w:color w:val="333333"/>
                <w:sz w:val="18"/>
                <w:szCs w:val="18"/>
              </w:rPr>
              <w:t xml:space="preserve">·Conservar evidencia de revocación o ajuste de accesos.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Control interno / Cumplimiento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·Verificar que el proceso quede completo y documentado.</w:t>
            </w:r>
          </w:p>
          <w:p>
            <w:pPr>
              <w:jc w:val="left"/>
            </w:pPr>
            <w:r>
              <w:rPr>
                <w:rFonts w:ascii="Calibri" w:cs="Calibri" w:eastAsia="Calibri" w:hAnsi="Calibri"/>
                <w:b w:val="false"/>
                <w:bCs w:val="false"/>
                <w:color w:val="333333"/>
                <w:sz w:val="18"/>
                <w:szCs w:val="18"/>
              </w:rPr>
              <w:t xml:space="preserve">·Confirmar que no existan omisiones en accesos, activos o responsabilidades.</w:t>
            </w:r>
          </w:p>
          <w:p>
            <w:pPr>
              <w:jc w:val="left"/>
            </w:pPr>
            <w:r>
              <w:rPr>
                <w:rFonts w:ascii="Calibri" w:cs="Calibri" w:eastAsia="Calibri" w:hAnsi="Calibri"/>
                <w:b w:val="false"/>
                <w:bCs w:val="false"/>
                <w:color w:val="333333"/>
                <w:sz w:val="18"/>
                <w:szCs w:val="18"/>
              </w:rPr>
              <w:t xml:space="preserve">·Dar seguimiento a desviaciones detectadas.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Empleado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·Entregar activos, credenciales, información, documentos y accesos bajo su responsabilidad.</w:t>
            </w:r>
          </w:p>
          <w:p>
            <w:pPr>
              <w:jc w:val="left"/>
            </w:pPr>
            <w:r>
              <w:rPr>
                <w:rFonts w:ascii="Calibri" w:cs="Calibri" w:eastAsia="Calibri" w:hAnsi="Calibri"/>
                <w:b w:val="false"/>
                <w:bCs w:val="false"/>
                <w:color w:val="333333"/>
                <w:sz w:val="18"/>
                <w:szCs w:val="18"/>
              </w:rPr>
              <w:t xml:space="preserve">·Firmar los documentos de salida o cambio de funciones que correspondan.</w:t>
            </w:r>
          </w:p>
          <w:p>
            <w:pPr>
              <w:jc w:val="left"/>
            </w:pPr>
            <w:r>
              <w:rPr>
                <w:rFonts w:ascii="Calibri" w:cs="Calibri" w:eastAsia="Calibri" w:hAnsi="Calibri"/>
                <w:b w:val="false"/>
                <w:bCs w:val="false"/>
                <w:color w:val="333333"/>
                <w:sz w:val="18"/>
                <w:szCs w:val="18"/>
              </w:rPr>
              <w:t xml:space="preserve">·Guardar confidencialidad aun después de la terminación de la relación contractual.</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supuestos_de_aplicacion" w:id="1"/>
      <w:r>
        <w:t xml:space="preserve"/>
      </w:r>
      <w:bookmarkEnd w:id="1"/>
      <w:r>
        <w:rPr>
          <w:rFonts w:ascii="Calibri" w:cs="Calibri" w:eastAsia="Calibri" w:hAnsi="Calibri"/>
          <w:b/>
          <w:bCs/>
          <w:color w:val="000000"/>
          <w:sz w:val="28"/>
          <w:szCs w:val="28"/>
        </w:rPr>
        <w:t xml:space="preserve">7. SUPUESTOS DE APLICACIÓN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Este procedimiento deberá activarse cuando ocurra cualquiera de los siguientes eventos: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Renuncia;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Despido o rescisión;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Terminación de contrato;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Conclusión de proyecto o relación temporal;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Promoción o democión;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Reasignación de funciones;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Retiro de funciones críticas;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en el nivel de acceso a información o sistemas.</w:t>
      </w:r>
    </w:p>
    <w:p>
      <w:r>
        <w:t xml:space="preserve"> </w:t>
      </w:r>
    </w:p>
    <w:p>
      <w:pPr>
        <w:pStyle w:val="Heading1"/>
        <w:pBdr>
          <w:bottom w:val="single" w:color="D9D9D9" w:sz="4" w:space="8"/>
        </w:pBdr>
        <w:spacing w:after="200" w:before="400" w:line="240"/>
      </w:pPr>
      <w:bookmarkStart w:name="section_7_desarrollo_del_procedimiento" w:id="1"/>
      <w:r>
        <w:t xml:space="preserve"/>
      </w:r>
      <w:bookmarkEnd w:id="1"/>
      <w:r>
        <w:rPr>
          <w:rFonts w:ascii="Calibri" w:cs="Calibri" w:eastAsia="Calibri" w:hAnsi="Calibri"/>
          <w:b/>
          <w:bCs/>
          <w:color w:val="000000"/>
          <w:sz w:val="28"/>
          <w:szCs w:val="28"/>
        </w:rPr>
        <w:t xml:space="preserve">8. DESARROLLO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Inicio del proceso</w:t>
      </w:r>
    </w:p>
    <w:p>
      <w:pPr>
        <w:spacing w:after="120" w:before="0" w:line="276"/>
        <w:jc w:val="left"/>
      </w:pPr>
      <w:r>
        <w:rPr>
          <w:rFonts w:ascii="Calibri" w:cs="Calibri" w:eastAsia="Calibri" w:hAnsi="Calibri"/>
          <w:b w:val="false"/>
          <w:bCs w:val="false"/>
          <w:color w:val="333333"/>
          <w:sz w:val="20"/>
          <w:szCs w:val="20"/>
        </w:rPr>
        <w:t xml:space="preserve">El procedimiento inicia cuando Recursos Humanos, el jefe inmediato o la Dirección tenga conocimiento formal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terminación de la relación contractual; 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Un cambio en actividades, roles y responsabilidades.</w:t>
      </w:r>
    </w:p>
    <w:p>
      <w:pPr>
        <w:spacing w:after="120" w:before="0" w:line="276"/>
        <w:jc w:val="left"/>
      </w:pPr>
      <w:r>
        <w:rPr>
          <w:rFonts w:ascii="Calibri" w:cs="Calibri" w:eastAsia="Calibri" w:hAnsi="Calibri"/>
          <w:b w:val="false"/>
          <w:bCs w:val="false"/>
          <w:color w:val="333333"/>
          <w:sz w:val="20"/>
          <w:szCs w:val="20"/>
        </w:rPr>
        <w:t xml:space="preserve">Dicho evento deberá documentarse mediante el formato o comunicación interna correspondiente.</w:t>
      </w:r>
    </w:p>
    <w:p>
      <w:pPr>
        <w:pStyle w:val="Heading2"/>
        <w:spacing w:after="200" w:before="400" w:line="240"/>
        <w:jc w:val="left"/>
      </w:pPr>
      <w:r>
        <w:rPr>
          <w:rFonts w:ascii="Calibri" w:cs="Calibri" w:eastAsia="Calibri" w:hAnsi="Calibri"/>
          <w:b/>
          <w:bCs/>
          <w:color w:val="000000"/>
          <w:sz w:val="20"/>
          <w:szCs w:val="20"/>
        </w:rPr>
        <w:t xml:space="preserve">Notificación interna</w:t>
      </w:r>
    </w:p>
    <w:p>
      <w:pPr>
        <w:spacing w:after="120" w:before="0" w:line="276"/>
        <w:jc w:val="left"/>
      </w:pPr>
      <w:r>
        <w:rPr>
          <w:rFonts w:ascii="Calibri" w:cs="Calibri" w:eastAsia="Calibri" w:hAnsi="Calibri"/>
          <w:b w:val="false"/>
          <w:bCs w:val="false"/>
          <w:color w:val="333333"/>
          <w:sz w:val="20"/>
          <w:szCs w:val="20"/>
        </w:rPr>
        <w:t xml:space="preserve">Recursos Humanos deberá notificar sin demora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jefe inmediato;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 / administradores de sistemas;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Control Interno,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Responsables de activos, cuando aplique.</w:t>
      </w:r>
    </w:p>
    <w:p>
      <w:pPr>
        <w:spacing w:after="120" w:before="0" w:line="276"/>
        <w:jc w:val="left"/>
      </w:pPr>
      <w:r>
        <w:rPr>
          <w:rFonts w:ascii="Calibri" w:cs="Calibri" w:eastAsia="Calibri" w:hAnsi="Calibri"/>
          <w:b w:val="false"/>
          <w:bCs w:val="false"/>
          <w:color w:val="333333"/>
          <w:sz w:val="20"/>
          <w:szCs w:val="20"/>
        </w:rPr>
        <w:t xml:space="preserve">La notificación deberá contener,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 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evento;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efectiva;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Nivel de criticidad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Sistemas o activos bajo responsabilidad conocida.</w:t>
      </w:r>
    </w:p>
    <w:p>
      <w:pPr>
        <w:pStyle w:val="Heading2"/>
        <w:spacing w:after="200" w:before="400" w:line="240"/>
        <w:jc w:val="left"/>
      </w:pPr>
      <w:r>
        <w:rPr>
          <w:rFonts w:ascii="Calibri" w:cs="Calibri" w:eastAsia="Calibri" w:hAnsi="Calibri"/>
          <w:b/>
          <w:bCs/>
          <w:color w:val="000000"/>
          <w:sz w:val="20"/>
          <w:szCs w:val="20"/>
        </w:rPr>
        <w:t xml:space="preserve">Clasificación del caso</w:t>
      </w:r>
    </w:p>
    <w:p>
      <w:pPr>
        <w:spacing w:after="120" w:before="0" w:line="276"/>
        <w:jc w:val="left"/>
      </w:pPr>
      <w:r>
        <w:rPr>
          <w:rFonts w:ascii="Calibri" w:cs="Calibri" w:eastAsia="Calibri" w:hAnsi="Calibri"/>
          <w:b w:val="false"/>
          <w:bCs w:val="false"/>
          <w:color w:val="333333"/>
          <w:sz w:val="20"/>
          <w:szCs w:val="20"/>
        </w:rPr>
        <w:t xml:space="preserve">El caso deberá clasificarse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Terminación definitiva; 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Modificación interna de funciones / rol /responsabilidades</w:t>
      </w:r>
    </w:p>
    <w:p>
      <w:pPr>
        <w:spacing w:after="120" w:before="0" w:line="276"/>
        <w:jc w:val="left"/>
      </w:pPr>
      <w:r>
        <w:rPr>
          <w:rFonts w:ascii="Calibri" w:cs="Calibri" w:eastAsia="Calibri" w:hAnsi="Calibri"/>
          <w:b w:val="false"/>
          <w:bCs w:val="false"/>
          <w:color w:val="333333"/>
          <w:sz w:val="20"/>
          <w:szCs w:val="20"/>
        </w:rPr>
        <w:t xml:space="preserve">Adicionalmente, deberá determinarse si se trata de un </w:t>
      </w:r>
      <w:r>
        <w:rPr>
          <w:rFonts w:ascii="Calibri" w:cs="Calibri" w:eastAsia="Calibri" w:hAnsi="Calibri"/>
          <w:b/>
          <w:bCs/>
          <w:color w:val="333333"/>
          <w:sz w:val="20"/>
          <w:szCs w:val="20"/>
        </w:rPr>
        <w:t xml:space="preserve">puesto sensible o crítico</w:t>
      </w:r>
      <w:r>
        <w:rPr>
          <w:rFonts w:ascii="Calibri" w:cs="Calibri" w:eastAsia="Calibri" w:hAnsi="Calibri"/>
          <w:b w:val="false"/>
          <w:bCs w:val="false"/>
          <w:color w:val="333333"/>
          <w:sz w:val="20"/>
          <w:szCs w:val="20"/>
        </w:rPr>
        <w:t xml:space="preserve">, considerando su acceso a información de contribuyentes, sistemas productivos, cuentas privilegiadas, infraestructura o activos críticos.</w:t>
      </w:r>
    </w:p>
    <w:p>
      <w:pPr>
        <w:pStyle w:val="Heading2"/>
        <w:spacing w:after="200" w:before="400" w:line="240"/>
        <w:jc w:val="left"/>
      </w:pPr>
      <w:r>
        <w:rPr>
          <w:rFonts w:ascii="Calibri" w:cs="Calibri" w:eastAsia="Calibri" w:hAnsi="Calibri"/>
          <w:b/>
          <w:bCs/>
          <w:color w:val="000000"/>
          <w:sz w:val="20"/>
          <w:szCs w:val="20"/>
        </w:rPr>
        <w:t xml:space="preserve">Evaluación de impacto</w:t>
      </w:r>
    </w:p>
    <w:p>
      <w:pPr>
        <w:spacing w:after="120" w:before="0" w:line="276"/>
        <w:jc w:val="left"/>
      </w:pPr>
      <w:r>
        <w:rPr>
          <w:rFonts w:ascii="Calibri" w:cs="Calibri" w:eastAsia="Calibri" w:hAnsi="Calibri"/>
          <w:b w:val="false"/>
          <w:bCs w:val="false"/>
          <w:color w:val="333333"/>
          <w:sz w:val="20"/>
          <w:szCs w:val="20"/>
        </w:rPr>
        <w:t xml:space="preserve">Seguridad de la Información y TI identificarán: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activas;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Perfiles y privilegios;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físicos y lógicos;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asignados;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Información bajo resguardo del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Procesos o actividades que requieren transferencia.</w:t>
      </w:r>
    </w:p>
    <w:p>
      <w:pPr>
        <w:pStyle w:val="Heading2"/>
        <w:spacing w:after="200" w:before="400" w:line="240"/>
        <w:jc w:val="left"/>
      </w:pPr>
      <w:r>
        <w:rPr>
          <w:rFonts w:ascii="Calibri" w:cs="Calibri" w:eastAsia="Calibri" w:hAnsi="Calibri"/>
          <w:b/>
          <w:bCs/>
          <w:color w:val="000000"/>
          <w:sz w:val="20"/>
          <w:szCs w:val="20"/>
        </w:rPr>
        <w:t xml:space="preserve">Acciones en caso de terminación de la relación contractual</w:t>
      </w:r>
    </w:p>
    <w:p>
      <w:pPr>
        <w:spacing w:after="120" w:before="0" w:line="276"/>
        <w:jc w:val="left"/>
      </w:pPr>
      <w:r>
        <w:rPr>
          <w:rFonts w:ascii="Calibri" w:cs="Calibri" w:eastAsia="Calibri" w:hAnsi="Calibri"/>
          <w:b w:val="false"/>
          <w:bCs w:val="false"/>
          <w:color w:val="333333"/>
          <w:sz w:val="20"/>
          <w:szCs w:val="20"/>
        </w:rPr>
        <w:t xml:space="preserve">Cuando exista baja definitiva, SENDERO FUEL deberá ejecutar,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o inhabilitación de cuentas de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Cancelación de acceso a correo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Cancelación de VPN y servicios remotos;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Baja de accesos a aplicativos, bases de datos, repositorios y servicios en nube;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de privilegios administrativos o especiales;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Recuperación de equipos, credenciales, tokens, llaves, documentos y demás activos;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Documentación de la entrega-recepción de pendientes operativos;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Integración del expediente de salida.</w:t>
      </w:r>
    </w:p>
    <w:p>
      <w:pPr>
        <w:pStyle w:val="Heading2"/>
        <w:spacing w:after="200" w:before="400" w:line="240"/>
        <w:jc w:val="left"/>
      </w:pPr>
      <w:r>
        <w:rPr>
          <w:rFonts w:ascii="Calibri" w:cs="Calibri" w:eastAsia="Calibri" w:hAnsi="Calibri"/>
          <w:b/>
          <w:bCs/>
          <w:color w:val="000000"/>
          <w:sz w:val="20"/>
          <w:szCs w:val="20"/>
        </w:rPr>
        <w:t xml:space="preserve">Acciones en caso de cambio de actividades, roles y responsabilidades</w:t>
      </w:r>
    </w:p>
    <w:p>
      <w:pPr>
        <w:spacing w:after="120" w:before="0" w:line="276"/>
        <w:jc w:val="left"/>
      </w:pPr>
      <w:r>
        <w:rPr>
          <w:rFonts w:ascii="Calibri" w:cs="Calibri" w:eastAsia="Calibri" w:hAnsi="Calibri"/>
          <w:b w:val="false"/>
          <w:bCs w:val="false"/>
          <w:color w:val="333333"/>
          <w:sz w:val="20"/>
          <w:szCs w:val="20"/>
        </w:rPr>
        <w:t xml:space="preserve">Cuando el colaborador permanezca en SENDERO FUEL pero cambie de rol, deberán ejecutarse,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Revisión de los accesos vigentes;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de permisos que ya no correspondan;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Otorgamiento controlado de nuevos accesos, cuando proceda;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Actualización de funciones y responsabilidades documentadas;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Actualización de términos y condiciones del empleo, si aplica;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Actualización de activos asignados, si aplica;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Constancia documental del cambio realizado.</w:t>
      </w:r>
    </w:p>
    <w:p>
      <w:pPr>
        <w:pStyle w:val="Heading2"/>
        <w:spacing w:after="200" w:before="400" w:line="240"/>
        <w:jc w:val="left"/>
      </w:pPr>
      <w:r>
        <w:rPr>
          <w:rFonts w:ascii="Calibri" w:cs="Calibri" w:eastAsia="Calibri" w:hAnsi="Calibri"/>
          <w:b/>
          <w:bCs/>
          <w:color w:val="000000"/>
          <w:sz w:val="20"/>
          <w:szCs w:val="20"/>
        </w:rPr>
        <w:t xml:space="preserve">Momento de ejecución de la baja o ajuste de accesos</w:t>
      </w:r>
    </w:p>
    <w:p>
      <w:pPr>
        <w:spacing w:after="120" w:before="0" w:line="276"/>
        <w:jc w:val="both"/>
      </w:pPr>
      <w:r>
        <w:rPr>
          <w:rFonts w:ascii="Calibri" w:cs="Calibri" w:eastAsia="Calibri" w:hAnsi="Calibri"/>
          <w:b w:val="false"/>
          <w:bCs w:val="false"/>
          <w:color w:val="333333"/>
          <w:sz w:val="20"/>
          <w:szCs w:val="20"/>
        </w:rPr>
        <w:t xml:space="preserve">Los accesos deberán ser retirados o modificados conforme a la fecha efectiva del movimiento. Cuando el riesgo lo justifique,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podrá ordenar la revocación inmediata o anticipada de accesos, especialmente en puestos críticos, incidentes disciplinarios, desvinculaciones sensibles o situaciones que impliquen riesgo para la información.</w:t>
      </w:r>
    </w:p>
    <w:p>
      <w:pPr>
        <w:pStyle w:val="Heading2"/>
        <w:spacing w:after="200" w:before="400" w:line="240"/>
        <w:jc w:val="left"/>
      </w:pPr>
      <w:r>
        <w:rPr>
          <w:rFonts w:ascii="Calibri" w:cs="Calibri" w:eastAsia="Calibri" w:hAnsi="Calibri"/>
          <w:b/>
          <w:bCs/>
          <w:color w:val="000000"/>
          <w:sz w:val="20"/>
          <w:szCs w:val="20"/>
        </w:rPr>
        <w:t xml:space="preserve">Transferencia de actividades</w:t>
      </w:r>
    </w:p>
    <w:p>
      <w:pPr>
        <w:spacing w:after="120" w:before="0" w:line="276"/>
        <w:jc w:val="left"/>
      </w:pPr>
      <w:r>
        <w:rPr>
          <w:rFonts w:ascii="Calibri" w:cs="Calibri" w:eastAsia="Calibri" w:hAnsi="Calibri"/>
          <w:b w:val="false"/>
          <w:bCs w:val="false"/>
          <w:color w:val="333333"/>
          <w:sz w:val="20"/>
          <w:szCs w:val="20"/>
        </w:rPr>
        <w:t xml:space="preserve">El jefe inmediato deberá asegurar la transferencia ordenada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pendientes operativos;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información de trabajo;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expedientes;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seguimiento de tickets, incidencias o proyectos;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conocimiento indispensable para la continuidad operativa.</w:t>
      </w:r>
    </w:p>
    <w:p>
      <w:pPr>
        <w:spacing w:after="120" w:before="0" w:line="276"/>
        <w:jc w:val="left"/>
      </w:pPr>
      <w:r>
        <w:rPr>
          <w:rFonts w:ascii="Calibri" w:cs="Calibri" w:eastAsia="Calibri" w:hAnsi="Calibri"/>
          <w:b w:val="false"/>
          <w:bCs w:val="false"/>
          <w:color w:val="333333"/>
          <w:sz w:val="20"/>
          <w:szCs w:val="20"/>
        </w:rPr>
        <w:t xml:space="preserve">La transferencia deberá documentarse cuando el nivel de criticidad del puesto lo amerite.</w:t>
      </w:r>
    </w:p>
    <w:p>
      <w:pPr>
        <w:spacing w:after="120" w:before="0" w:line="276"/>
        <w:jc w:val="left"/>
      </w:pPr>
      <w:r>
        <w:rPr>
          <w:rFonts w:ascii="Calibri" w:cs="Calibri" w:eastAsia="Calibri" w:hAnsi="Calibri"/>
          <w:b w:val="false"/>
          <w:bCs w:val="false"/>
          <w:color w:val="333333"/>
          <w:sz w:val="20"/>
          <w:szCs w:val="20"/>
        </w:rPr>
        <w:t xml:space="preserve">La devolución de activos tangibles e intangibles deberá canalizarse al procedimiento específico de retorno de activos previsto en el numeral</w:t>
      </w:r>
      <w:r>
        <w:rPr>
          <w:rFonts w:ascii="Calibri" w:cs="Calibri" w:eastAsia="Calibri" w:hAnsi="Calibri"/>
          <w:b/>
          <w:bCs/>
          <w:color w:val="333333"/>
          <w:sz w:val="20"/>
          <w:szCs w:val="20"/>
        </w:rPr>
        <w:t xml:space="preserve"> 16 del Anexo 10</w:t>
      </w:r>
    </w:p>
    <w:p>
      <w:pPr>
        <w:pStyle w:val="Heading2"/>
        <w:spacing w:after="200" w:before="400" w:line="240"/>
        <w:jc w:val="left"/>
      </w:pPr>
      <w:r>
        <w:rPr>
          <w:rFonts w:ascii="Calibri" w:cs="Calibri" w:eastAsia="Calibri" w:hAnsi="Calibri"/>
          <w:b/>
          <w:bCs/>
          <w:color w:val="000000"/>
          <w:sz w:val="20"/>
          <w:szCs w:val="20"/>
        </w:rPr>
        <w:t xml:space="preserve">Confirmación de cierre técnico</w:t>
      </w:r>
    </w:p>
    <w:p>
      <w:pPr>
        <w:spacing w:after="120" w:before="0" w:line="276"/>
        <w:jc w:val="left"/>
      </w:pPr>
      <w:r>
        <w:rPr>
          <w:rFonts w:ascii="Calibri" w:cs="Calibri" w:eastAsia="Calibri" w:hAnsi="Calibri"/>
          <w:b w:val="false"/>
          <w:bCs w:val="false"/>
          <w:color w:val="333333"/>
          <w:sz w:val="20"/>
          <w:szCs w:val="20"/>
        </w:rPr>
        <w:t xml:space="preserve">TI y Seguridad de la Información deberán emitir evidencia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deshabilitadas;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Perfiles modificados;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revocados;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Privilegios eliminados;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y hora de ejecución.</w:t>
      </w:r>
    </w:p>
    <w:p>
      <w:pPr>
        <w:pStyle w:val="Heading2"/>
        <w:spacing w:after="200" w:before="400" w:line="240"/>
        <w:jc w:val="left"/>
      </w:pPr>
      <w:r>
        <w:rPr>
          <w:rFonts w:ascii="Calibri" w:cs="Calibri" w:eastAsia="Calibri" w:hAnsi="Calibri"/>
          <w:b/>
          <w:bCs/>
          <w:color w:val="000000"/>
          <w:sz w:val="20"/>
          <w:szCs w:val="20"/>
        </w:rPr>
        <w:t xml:space="preserve">Integración de expediente</w:t>
      </w:r>
    </w:p>
    <w:p>
      <w:pPr>
        <w:spacing w:after="120" w:before="0" w:line="276"/>
        <w:jc w:val="left"/>
      </w:pPr>
      <w:r>
        <w:rPr>
          <w:rFonts w:ascii="Calibri" w:cs="Calibri" w:eastAsia="Calibri" w:hAnsi="Calibri"/>
          <w:b w:val="false"/>
          <w:bCs w:val="false"/>
          <w:color w:val="333333"/>
          <w:sz w:val="20"/>
          <w:szCs w:val="20"/>
        </w:rPr>
        <w:t xml:space="preserve">Recursos Humanos integrará el expediente del caso, incluyendo: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Notificación de baja o cambio;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correspondiente;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Constancias de revocación o modificación de accesos;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 de devolución de activos o referencia al expediente de retorno;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Acuses o formatos firmados;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Cierre del proceso.</w:t>
      </w:r>
    </w:p>
    <w:p>
      <w:r>
        <w:t xml:space="preserve"> </w:t>
      </w:r>
    </w:p>
    <w:p>
      <w:pPr>
        <w:pStyle w:val="Heading1"/>
        <w:pBdr>
          <w:bottom w:val="single" w:color="D9D9D9" w:sz="4" w:space="8"/>
        </w:pBdr>
        <w:spacing w:after="200" w:before="400" w:line="240"/>
      </w:pPr>
      <w:bookmarkStart w:name="section_8_incumplimientos" w:id="1"/>
      <w:r>
        <w:t xml:space="preserve"/>
      </w:r>
      <w:bookmarkEnd w:id="1"/>
      <w:r>
        <w:rPr>
          <w:rFonts w:ascii="Calibri" w:cs="Calibri" w:eastAsia="Calibri" w:hAnsi="Calibri"/>
          <w:b/>
          <w:bCs/>
          <w:color w:val="000000"/>
          <w:sz w:val="28"/>
          <w:szCs w:val="28"/>
        </w:rPr>
        <w:t xml:space="preserve">9. INCUMPLIMIENTOS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omisión en la notificación, revocación de accesos, recuperación de activos, actualización de responsabilidades o integración de evidencia se considerará desviación de control interno y deberá corregirse de inmediato mediante acción correctiva y seguimiento del área responsable.</w:t>
      </w:r>
    </w:p>
    <w:p>
      <w:r>
        <w:t xml:space="preserve"> </w:t>
      </w:r>
    </w:p>
    <w:p>
      <w:pPr>
        <w:pStyle w:val="Heading1"/>
        <w:pBdr>
          <w:bottom w:val="single" w:color="D9D9D9" w:sz="4" w:space="8"/>
        </w:pBdr>
        <w:spacing w:after="200" w:before="400" w:line="240"/>
      </w:pPr>
      <w:bookmarkStart w:name="section_9_periodicidad_de_revision" w:id="1"/>
      <w:r>
        <w:t xml:space="preserve"/>
      </w:r>
      <w:bookmarkEnd w:id="1"/>
      <w:r>
        <w:rPr>
          <w:rFonts w:ascii="Calibri" w:cs="Calibri" w:eastAsia="Calibri" w:hAnsi="Calibri"/>
          <w:b/>
          <w:bCs/>
          <w:color w:val="000000"/>
          <w:sz w:val="28"/>
          <w:szCs w:val="28"/>
        </w:rPr>
        <w:t xml:space="preserve">10.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0_glosario" w:id="1"/>
      <w:r>
        <w:rPr>
          <w:rFonts w:ascii="Calibri" w:cs="Calibri" w:eastAsia="Calibri" w:hAnsi="Calibri"/>
          <w:b/>
          <w:bCs/>
          <w:color w:val="000000"/>
          <w:sz w:val="28"/>
          <w:szCs w:val="28"/>
        </w:rPr>
        <w:t xml:space="preserve">11.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PR-SF-007</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terminación de la relación contractual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PR-SF-007</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terminación de la relación contractual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de terminacin de la relacin contractual</dc:title>
  <dc:subject>Proceso</dc:subject>
  <dc:creator>Administrador MAPLINKS</dc:creator>
  <cp:keywords>PR-SF-007</cp:keywords>
  <dc:description>Documento PR-SF-007</dc:description>
  <cp:lastModifiedBy>Administrador MAPLINKS</cp:lastModifiedBy>
  <cp:revision>1</cp:revision>
  <dcterms:created xsi:type="dcterms:W3CDTF">2026-09-30T21:32:50.726Z</dcterms:created>
  <dcterms:modified xsi:type="dcterms:W3CDTF">2026-09-30T21:32:50.726Z</dcterms:modified>
</cp:coreProperties>
</file>

<file path=docProps/custom.xml><?xml version="1.0" encoding="utf-8"?>
<Properties xmlns="http://schemas.openxmlformats.org/officeDocument/2006/custom-properties" xmlns:vt="http://schemas.openxmlformats.org/officeDocument/2006/docPropsVTypes"/>
</file>