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9/4/2026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establecer y mantener una relación con grupos de interés especializados, significa formalizar un vínculo de colaboración técnica con organizaciones, instituciones y empresas externas dedicadas a la seguridad tecnológica. Esta relación implica:</w:t>
      </w:r>
    </w:p>
    <w:p>
      <w:pPr>
        <w:pStyle w:val="ListParagraph"/>
        <w:numPr>
          <w:ilvl w:val="0"/>
          <w:numId w:val="1"/>
        </w:numPr>
        <w:spacing w:line="276"/>
        <w:jc w:val="left"/>
      </w:pPr>
      <w:r>
        <w:rPr>
          <w:rFonts w:ascii="Calibri" w:cs="Calibri" w:eastAsia="Calibri" w:hAnsi="Calibri"/>
          <w:b/>
          <w:bCs/>
          <w:color w:val="333333"/>
          <w:sz w:val="20"/>
          <w:szCs w:val="20"/>
        </w:rPr>
        <w:t xml:space="preserve">Vínculo Informativo Activo:</w:t>
      </w:r>
      <w:r>
        <w:rPr>
          <w:rFonts w:ascii="Calibri" w:cs="Calibri" w:eastAsia="Calibri" w:hAnsi="Calibri"/>
          <w:b w:val="false"/>
          <w:bCs w:val="false"/>
          <w:color w:val="333333"/>
          <w:sz w:val="20"/>
          <w:szCs w:val="20"/>
        </w:rPr>
        <w:t xml:space="preserve"> La integración de la empresa a redes de comunicación especializadas a través de inscripciones a canales RSS, listas de correo y boletines técnicos.</w:t>
      </w:r>
    </w:p>
    <w:p>
      <w:pPr>
        <w:pStyle w:val="ListParagraph"/>
        <w:numPr>
          <w:ilvl w:val="0"/>
          <w:numId w:val="1"/>
        </w:numPr>
        <w:spacing w:line="276"/>
        <w:jc w:val="left"/>
      </w:pPr>
      <w:r>
        <w:rPr>
          <w:rFonts w:ascii="Calibri" w:cs="Calibri" w:eastAsia="Calibri" w:hAnsi="Calibri"/>
          <w:b/>
          <w:bCs/>
          <w:color w:val="333333"/>
          <w:sz w:val="20"/>
          <w:szCs w:val="20"/>
        </w:rPr>
        <w:t xml:space="preserve">Inteligencia de Seguridad:</w:t>
      </w:r>
      <w:r>
        <w:rPr>
          <w:rFonts w:ascii="Calibri" w:cs="Calibri" w:eastAsia="Calibri" w:hAnsi="Calibri"/>
          <w:b w:val="false"/>
          <w:bCs w:val="false"/>
          <w:color w:val="333333"/>
          <w:sz w:val="20"/>
          <w:szCs w:val="20"/>
        </w:rPr>
        <w:t xml:space="preserve"> La recepción constante de información para el monitoreo y prevención de incidentes que puedan afectar los activos de información de la empresa.</w:t>
      </w:r>
    </w:p>
    <w:p>
      <w:pPr>
        <w:pStyle w:val="ListParagraph"/>
        <w:numPr>
          <w:ilvl w:val="0"/>
          <w:numId w:val="1"/>
        </w:numPr>
        <w:spacing w:line="276"/>
        <w:jc w:val="left"/>
      </w:pPr>
      <w:r>
        <w:rPr>
          <w:rFonts w:ascii="Calibri" w:cs="Calibri" w:eastAsia="Calibri" w:hAnsi="Calibri"/>
          <w:b/>
          <w:bCs/>
          <w:color w:val="333333"/>
          <w:sz w:val="20"/>
          <w:szCs w:val="20"/>
        </w:rPr>
        <w:t xml:space="preserve">Defensa Proactiva:</w:t>
      </w:r>
      <w:r>
        <w:rPr>
          <w:rFonts w:ascii="Calibri" w:cs="Calibri" w:eastAsia="Calibri" w:hAnsi="Calibri"/>
          <w:b w:val="false"/>
          <w:bCs w:val="false"/>
          <w:color w:val="333333"/>
          <w:sz w:val="20"/>
          <w:szCs w:val="20"/>
        </w:rPr>
        <w:t xml:space="preserve"> El aprovechamiento del conocimiento colectivo de estos entes para la mejora continua de la infraestructura de las Tecnologías de la Información y las Comunicaciones (TIC).</w:t>
      </w:r>
    </w:p>
    <w:p>
      <w:pPr>
        <w:pStyle w:val="ListParagraph"/>
        <w:numPr>
          <w:ilvl w:val="0"/>
          <w:numId w:val="1"/>
        </w:numPr>
        <w:spacing w:line="276"/>
        <w:jc w:val="left"/>
      </w:pPr>
      <w:r>
        <w:rPr>
          <w:rFonts w:ascii="Calibri" w:cs="Calibri" w:eastAsia="Calibri" w:hAnsi="Calibri"/>
          <w:b/>
          <w:bCs/>
          <w:color w:val="333333"/>
          <w:sz w:val="20"/>
          <w:szCs w:val="20"/>
        </w:rPr>
        <w:t xml:space="preserve">Cumplimiento Normativo:</w:t>
      </w:r>
      <w:r>
        <w:rPr>
          <w:rFonts w:ascii="Calibri" w:cs="Calibri" w:eastAsia="Calibri" w:hAnsi="Calibri"/>
          <w:b w:val="false"/>
          <w:bCs w:val="false"/>
          <w:color w:val="333333"/>
          <w:sz w:val="20"/>
          <w:szCs w:val="20"/>
        </w:rPr>
        <w:t xml:space="preserve"> El mantenimiento de evidencia documental (formularios de inscripción y registros) que acredite ante la autoridad el compromiso de la empresa con la actualización en materia de ciberseguridad.</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para que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mantenga un flujo constante de información técnica actualizada a través de suscripciones, foros y boletines especializados. El fin primordial es fortalecer la postura de seguridad de la empresa mediante el intercambio de conocimientos sobre aspectos de tecnología y la prevención proactiva de incidentes de seguridad de la información.</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Este procedimiento aplica a todos los contactos institucionales que mantenga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con grupos de interés especial relacionados directa o indirectamente con: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Operación del monedero electrónico de combustibles;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Seguridad de infraestructura;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Vulnerabilidades técnicas;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Amenazas cibernéticas;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Continuidad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de terceros críticos.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FO-SF-002 — FO-SF-002_Alta_inscripcion_grupo_interes_SENDERO_FUEL.docx</w:t>
      </w:r>
    </w:p>
    <w:p>
      <w:pPr>
        <w:spacing w:after="60" w:before="60" w:line="276"/>
      </w:pPr>
      <w:r>
        <w:rPr>
          <w:rFonts w:ascii="Calibri" w:cs="Calibri" w:eastAsia="Calibri" w:hAnsi="Calibri"/>
          <w:b w:val="false"/>
          <w:bCs w:val="false"/>
          <w:color w:val="333333"/>
          <w:sz w:val="20"/>
          <w:szCs w:val="20"/>
        </w:rPr>
        <w:t xml:space="preserve">• FO-SF-003 — FO-SF-003_Registro_maestro_SENDERO_FUEL_v2.xlsx</w:t>
      </w:r>
    </w:p>
    <w:p>
      <w:pPr>
        <w:spacing w:after="60" w:before="60" w:line="276"/>
      </w:pPr>
      <w:r>
        <w:rPr>
          <w:rFonts w:ascii="Calibri" w:cs="Calibri" w:eastAsia="Calibri" w:hAnsi="Calibri"/>
          <w:b w:val="false"/>
          <w:bCs w:val="false"/>
          <w:color w:val="333333"/>
          <w:sz w:val="20"/>
          <w:szCs w:val="20"/>
        </w:rPr>
        <w:t xml:space="preserve">• FO-SF-004 — FO-SF-004_Bitacora_revision_alertas_boletines_avisos_SENDERO_FUEL.docx</w:t>
      </w:r>
    </w:p>
    <w:p>
      <w:pPr>
        <w:spacing w:after="60" w:before="60" w:line="276"/>
      </w:pPr>
      <w:r>
        <w:rPr>
          <w:rFonts w:ascii="Calibri" w:cs="Calibri" w:eastAsia="Calibri" w:hAnsi="Calibri"/>
          <w:b w:val="false"/>
          <w:bCs w:val="false"/>
          <w:color w:val="333333"/>
          <w:sz w:val="20"/>
          <w:szCs w:val="20"/>
        </w:rPr>
        <w:t xml:space="preserve">• FO-SF-005 — FO-SF-005_Evaluacion_aplicabilidad_alertas_SENDERO_FUEL.docx</w:t>
      </w:r>
    </w:p>
    <w:p>
      <w:pPr>
        <w:spacing w:after="60" w:before="60" w:line="276"/>
      </w:pPr>
      <w:r>
        <w:rPr>
          <w:rFonts w:ascii="Calibri" w:cs="Calibri" w:eastAsia="Calibri" w:hAnsi="Calibri"/>
          <w:b w:val="false"/>
          <w:bCs w:val="false"/>
          <w:color w:val="333333"/>
          <w:sz w:val="20"/>
          <w:szCs w:val="20"/>
        </w:rPr>
        <w:t xml:space="preserve">• FO-SF-006 — FO-SF-006_Registro_acciones_derivadas_SENDERO_FUEL.docx</w:t>
      </w:r>
    </w:p>
    <w:p>
      <w:pPr>
        <w:spacing w:after="60" w:before="60" w:line="276"/>
      </w:pPr>
      <w:r>
        <w:rPr>
          <w:rFonts w:ascii="Calibri" w:cs="Calibri" w:eastAsia="Calibri" w:hAnsi="Calibri"/>
          <w:b w:val="false"/>
          <w:bCs w:val="false"/>
          <w:color w:val="333333"/>
          <w:sz w:val="20"/>
          <w:szCs w:val="20"/>
        </w:rPr>
        <w:t xml:space="preserve">• FO-SF-007 — FO-SF-007_Reporte_trimestral_vigencia_cobertura_SENDERO_FUEL.docx</w:t>
      </w:r>
    </w:p>
    <w:p>
      <w:pPr>
        <w:spacing w:after="60" w:before="60" w:line="276"/>
      </w:pPr>
      <w:r>
        <w:rPr>
          <w:rFonts w:ascii="Calibri" w:cs="Calibri" w:eastAsia="Calibri" w:hAnsi="Calibri"/>
          <w:b w:val="false"/>
          <w:bCs w:val="false"/>
          <w:color w:val="333333"/>
          <w:sz w:val="20"/>
          <w:szCs w:val="20"/>
        </w:rPr>
        <w:t xml:space="preserve">• FO-SF-008 — FO-SF-008_Baja_cancelacion_contacto_SENDERO_FUEL.docx</w:t>
      </w:r>
    </w:p>
    <w:p>
      <w:pPr>
        <w:spacing w:after="60" w:before="60" w:line="276"/>
      </w:pPr>
      <w:r>
        <w:rPr>
          <w:rFonts w:ascii="Calibri" w:cs="Calibri" w:eastAsia="Calibri" w:hAnsi="Calibri"/>
          <w:b w:val="false"/>
          <w:bCs w:val="false"/>
          <w:color w:val="333333"/>
          <w:sz w:val="20"/>
          <w:szCs w:val="20"/>
        </w:rPr>
        <w:t xml:space="preserve">• req_7_PR_SF_002.pdf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 de la Información</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los criterios de selección de grupos de interés especial.</w:t>
            </w:r>
          </w:p>
          <w:p>
            <w:pPr>
              <w:jc w:val="left"/>
            </w:pPr>
            <w:r>
              <w:rPr>
                <w:rFonts w:ascii="Calibri" w:cs="Calibri" w:eastAsia="Calibri" w:hAnsi="Calibri"/>
                <w:b w:val="false"/>
                <w:bCs w:val="false"/>
                <w:color w:val="333333"/>
                <w:sz w:val="18"/>
                <w:szCs w:val="18"/>
              </w:rPr>
              <w:t xml:space="preserve">·Autorizar altas, revisiones y bajas.</w:t>
            </w:r>
          </w:p>
          <w:p>
            <w:pPr>
              <w:jc w:val="left"/>
            </w:pPr>
            <w:r>
              <w:rPr>
                <w:rFonts w:ascii="Calibri" w:cs="Calibri" w:eastAsia="Calibri" w:hAnsi="Calibri"/>
                <w:b w:val="false"/>
                <w:bCs w:val="false"/>
                <w:color w:val="333333"/>
                <w:sz w:val="18"/>
                <w:szCs w:val="18"/>
              </w:rPr>
              <w:t xml:space="preserve">·Supervisar que exista evidencia suficiente.</w:t>
            </w:r>
          </w:p>
          <w:p>
            <w:pPr>
              <w:jc w:val="left"/>
            </w:pPr>
            <w:r>
              <w:rPr>
                <w:rFonts w:ascii="Calibri" w:cs="Calibri" w:eastAsia="Calibri" w:hAnsi="Calibri"/>
                <w:b w:val="false"/>
                <w:bCs w:val="false"/>
                <w:color w:val="333333"/>
                <w:sz w:val="18"/>
                <w:szCs w:val="18"/>
              </w:rPr>
              <w:t xml:space="preserve">·Escalar alertas relevantes.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Responsables de Infraestructura, Desarrollo, Operaciones y Soporte</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·Clasificar el incidente y determinar si pone en riesgo la información del contribuyente.</w:t>
            </w:r>
          </w:p>
          <w:p>
            <w:pPr>
              <w:jc w:val="left"/>
            </w:pPr>
            <w:r>
              <w:rPr>
                <w:rFonts w:ascii="Calibri" w:cs="Calibri" w:eastAsia="Calibri" w:hAnsi="Calibri"/>
                <w:b w:val="false"/>
                <w:bCs w:val="false"/>
                <w:color w:val="333333"/>
                <w:sz w:val="18"/>
                <w:szCs w:val="18"/>
              </w:rPr>
              <w:t xml:space="preserve">·Alimentar la base de conocimientos con las causas raíz detectadas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definiciones_operativas" w:id="1"/>
      <w:r>
        <w:t xml:space="preserve"/>
      </w:r>
      <w:bookmarkEnd w:id="1"/>
      <w:r>
        <w:rPr>
          <w:rFonts w:ascii="Calibri" w:cs="Calibri" w:eastAsia="Calibri" w:hAnsi="Calibri"/>
          <w:b/>
          <w:bCs/>
          <w:color w:val="000000"/>
          <w:sz w:val="28"/>
          <w:szCs w:val="28"/>
        </w:rPr>
        <w:t xml:space="preserve">7. DEFINICIONES OPERATIVAS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Alta:</w:t>
      </w:r>
      <w:r>
        <w:rPr>
          <w:rFonts w:ascii="Calibri" w:cs="Calibri" w:eastAsia="Calibri" w:hAnsi="Calibri"/>
          <w:b w:val="false"/>
          <w:bCs w:val="false"/>
          <w:color w:val="333333"/>
          <w:sz w:val="20"/>
          <w:szCs w:val="20"/>
        </w:rPr>
        <w:t xml:space="preserve"> Registro inicial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 un mecanismo formal de contacto o suscripción.</w:t>
      </w:r>
    </w:p>
    <w:p>
      <w:pPr>
        <w:pStyle w:val="ListParagraph"/>
        <w:numPr>
          <w:ilvl w:val="0"/>
          <w:numId w:val="1"/>
        </w:numPr>
        <w:spacing w:line="276"/>
        <w:jc w:val="left"/>
      </w:pPr>
      <w:r>
        <w:rPr>
          <w:rFonts w:ascii="Calibri" w:cs="Calibri" w:eastAsia="Calibri" w:hAnsi="Calibri"/>
          <w:b/>
          <w:bCs/>
          <w:color w:val="333333"/>
          <w:sz w:val="20"/>
          <w:szCs w:val="20"/>
        </w:rPr>
        <w:t xml:space="preserve">Seguimiento:</w:t>
      </w:r>
      <w:r>
        <w:rPr>
          <w:rFonts w:ascii="Calibri" w:cs="Calibri" w:eastAsia="Calibri" w:hAnsi="Calibri"/>
          <w:b w:val="false"/>
          <w:bCs w:val="false"/>
          <w:color w:val="333333"/>
          <w:sz w:val="20"/>
          <w:szCs w:val="20"/>
        </w:rPr>
        <w:t xml:space="preserve"> Revisión periódica del contenido recibido y determinación de su aplicabilidad.</w:t>
      </w:r>
    </w:p>
    <w:p>
      <w:pPr>
        <w:pStyle w:val="ListParagraph"/>
        <w:numPr>
          <w:ilvl w:val="0"/>
          <w:numId w:val="1"/>
        </w:numPr>
        <w:spacing w:line="276"/>
        <w:jc w:val="left"/>
      </w:pPr>
      <w:r>
        <w:rPr>
          <w:rFonts w:ascii="Calibri" w:cs="Calibri" w:eastAsia="Calibri" w:hAnsi="Calibri"/>
          <w:b/>
          <w:bCs/>
          <w:color w:val="333333"/>
          <w:sz w:val="20"/>
          <w:szCs w:val="20"/>
        </w:rPr>
        <w:t xml:space="preserve">Baja:</w:t>
      </w:r>
      <w:r>
        <w:rPr>
          <w:rFonts w:ascii="Calibri" w:cs="Calibri" w:eastAsia="Calibri" w:hAnsi="Calibri"/>
          <w:b w:val="false"/>
          <w:bCs w:val="false"/>
          <w:color w:val="333333"/>
          <w:sz w:val="20"/>
          <w:szCs w:val="20"/>
        </w:rPr>
        <w:t xml:space="preserve"> Cancelación documentada de una suscripción o vínculo.</w:t>
      </w:r>
    </w:p>
    <w:p>
      <w:pPr>
        <w:pStyle w:val="ListParagraph"/>
        <w:numPr>
          <w:ilvl w:val="0"/>
          <w:numId w:val="1"/>
        </w:numPr>
        <w:spacing w:line="276"/>
        <w:jc w:val="left"/>
      </w:pPr>
      <w:r>
        <w:rPr>
          <w:rFonts w:ascii="Calibri" w:cs="Calibri" w:eastAsia="Calibri" w:hAnsi="Calibri"/>
          <w:b/>
          <w:bCs/>
          <w:color w:val="333333"/>
          <w:sz w:val="20"/>
          <w:szCs w:val="20"/>
        </w:rPr>
        <w:t xml:space="preserve">Registro maestro:</w:t>
      </w:r>
      <w:r>
        <w:rPr>
          <w:rFonts w:ascii="Calibri" w:cs="Calibri" w:eastAsia="Calibri" w:hAnsi="Calibri"/>
          <w:b w:val="false"/>
          <w:bCs w:val="false"/>
          <w:color w:val="333333"/>
          <w:sz w:val="20"/>
          <w:szCs w:val="20"/>
        </w:rPr>
        <w:t xml:space="preserve"> Base documental central que concentra el inventario de grupos de interés especial.</w:t>
      </w:r>
    </w:p>
    <w:p>
      <w:r>
        <w:t xml:space="preserve"> </w:t>
      </w:r>
    </w:p>
    <w:p>
      <w:pPr>
        <w:pStyle w:val="Heading1"/>
        <w:pBdr>
          <w:bottom w:val="single" w:color="D9D9D9" w:sz="4" w:space="8"/>
        </w:pBdr>
        <w:spacing w:after="200" w:before="400" w:line="240"/>
      </w:pPr>
      <w:bookmarkStart w:name="section_7_desarrollo_del_procedimiento" w:id="1"/>
      <w:r>
        <w:t xml:space="preserve"/>
      </w:r>
      <w:bookmarkEnd w:id="1"/>
      <w:r>
        <w:rPr>
          <w:rFonts w:ascii="Calibri" w:cs="Calibri" w:eastAsia="Calibri" w:hAnsi="Calibri"/>
          <w:b/>
          <w:bCs/>
          <w:color w:val="000000"/>
          <w:sz w:val="28"/>
          <w:szCs w:val="28"/>
        </w:rPr>
        <w:t xml:space="preserve">8.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de necesidades</w:t>
      </w:r>
    </w:p>
    <w:p>
      <w:pPr>
        <w:spacing w:after="120" w:before="0" w:line="276"/>
        <w:jc w:val="left"/>
      </w:pPr>
      <w:r>
        <w:rPr>
          <w:rFonts w:ascii="Calibri" w:cs="Calibri" w:eastAsia="Calibri" w:hAnsi="Calibri"/>
          <w:b w:val="false"/>
          <w:bCs w:val="false"/>
          <w:color w:val="333333"/>
          <w:sz w:val="20"/>
          <w:szCs w:val="20"/>
        </w:rPr>
        <w:t xml:space="preserve">El Responsable de Seguridad de la Información identificará las necesidades de monitoreo considerando: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Activos críticos;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Componentes tecnológicos en uso;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relevantes;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expuestos;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Incidentes previos;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Riesgos identificados;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Obligaciones regulatorias.</w:t>
      </w:r>
    </w:p>
    <w:p>
      <w:pPr>
        <w:pStyle w:val="Heading2"/>
        <w:spacing w:after="200" w:before="400" w:line="240"/>
        <w:jc w:val="left"/>
      </w:pPr>
      <w:r>
        <w:rPr>
          <w:rFonts w:ascii="Calibri" w:cs="Calibri" w:eastAsia="Calibri" w:hAnsi="Calibri"/>
          <w:b/>
          <w:bCs/>
          <w:color w:val="000000"/>
          <w:sz w:val="20"/>
          <w:szCs w:val="20"/>
        </w:rPr>
        <w:t xml:space="preserve">Selección del grupo de interés especial</w:t>
      </w:r>
    </w:p>
    <w:p>
      <w:pPr>
        <w:spacing w:after="120" w:before="0" w:line="276"/>
        <w:jc w:val="left"/>
      </w:pPr>
      <w:r>
        <w:rPr>
          <w:rFonts w:ascii="Calibri" w:cs="Calibri" w:eastAsia="Calibri" w:hAnsi="Calibri"/>
          <w:b w:val="false"/>
          <w:bCs w:val="false"/>
          <w:color w:val="333333"/>
          <w:sz w:val="20"/>
          <w:szCs w:val="20"/>
        </w:rPr>
        <w:t xml:space="preserve">Con base en las necesidades detectadas, se seleccionarán grupos, organismos, fabricantes o canales que proporcionen información útil sobre: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Vulnerabilidades;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Alertas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Incidentes relevantes;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Actualizaciones críticas;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Tendencias de amenaza;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Mejores prácticas técnicas.</w:t>
      </w:r>
    </w:p>
    <w:p>
      <w:pPr>
        <w:pStyle w:val="Heading2"/>
        <w:spacing w:after="200" w:before="400" w:line="240"/>
        <w:jc w:val="left"/>
      </w:pPr>
      <w:r>
        <w:rPr>
          <w:rFonts w:ascii="Calibri" w:cs="Calibri" w:eastAsia="Calibri" w:hAnsi="Calibri"/>
          <w:b/>
          <w:bCs/>
          <w:color w:val="000000"/>
          <w:sz w:val="20"/>
          <w:szCs w:val="20"/>
        </w:rPr>
        <w:t xml:space="preserve">Evaluación previa</w:t>
      </w:r>
    </w:p>
    <w:p>
      <w:pPr>
        <w:spacing w:after="120" w:before="0" w:line="276"/>
        <w:jc w:val="left"/>
      </w:pPr>
      <w:r>
        <w:rPr>
          <w:rFonts w:ascii="Calibri" w:cs="Calibri" w:eastAsia="Calibri" w:hAnsi="Calibri"/>
          <w:b w:val="false"/>
          <w:bCs w:val="false"/>
          <w:color w:val="333333"/>
          <w:sz w:val="20"/>
          <w:szCs w:val="20"/>
        </w:rPr>
        <w:t xml:space="preserve">Antes de la inscripción,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evaluará: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Relevancia del grupo;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Confiabilidad de la fuente;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Utilidad para la operación;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Frecuencia de emisión;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Relación con activos o procesos críticos.</w:t>
      </w:r>
    </w:p>
    <w:p>
      <w:pPr>
        <w:pStyle w:val="Heading2"/>
        <w:spacing w:after="200" w:before="400" w:line="240"/>
        <w:jc w:val="left"/>
      </w:pPr>
      <w:r>
        <w:rPr>
          <w:rFonts w:ascii="Calibri" w:cs="Calibri" w:eastAsia="Calibri" w:hAnsi="Calibri"/>
          <w:b/>
          <w:bCs/>
          <w:color w:val="000000"/>
          <w:sz w:val="20"/>
          <w:szCs w:val="20"/>
        </w:rPr>
        <w:t xml:space="preserve">Autorización</w:t>
      </w:r>
    </w:p>
    <w:p>
      <w:pPr>
        <w:spacing w:after="120" w:before="0" w:line="276"/>
        <w:jc w:val="left"/>
      </w:pPr>
      <w:r>
        <w:rPr>
          <w:rFonts w:ascii="Calibri" w:cs="Calibri" w:eastAsia="Calibri" w:hAnsi="Calibri"/>
          <w:b w:val="false"/>
          <w:bCs w:val="false"/>
          <w:color w:val="333333"/>
          <w:sz w:val="20"/>
          <w:szCs w:val="20"/>
        </w:rPr>
        <w:t xml:space="preserve">La inscripción deberá ser autorizada por el Responsable de Seguridad de la Información, quien dejará constancia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grupo;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Objetivo del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interno;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Prioridad;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Medio de suscripción.</w:t>
      </w:r>
    </w:p>
    <w:p>
      <w:pPr>
        <w:pStyle w:val="Heading2"/>
        <w:spacing w:after="200" w:before="400" w:line="240"/>
        <w:jc w:val="left"/>
      </w:pPr>
      <w:r>
        <w:rPr>
          <w:rFonts w:ascii="Calibri" w:cs="Calibri" w:eastAsia="Calibri" w:hAnsi="Calibri"/>
          <w:b/>
          <w:bCs/>
          <w:color w:val="000000"/>
          <w:sz w:val="20"/>
          <w:szCs w:val="20"/>
        </w:rPr>
        <w:t xml:space="preserve">Inscripción</w:t>
      </w:r>
    </w:p>
    <w:p>
      <w:pPr>
        <w:spacing w:after="120" w:before="0" w:line="276"/>
        <w:jc w:val="left"/>
      </w:pPr>
      <w:r>
        <w:rPr>
          <w:rFonts w:ascii="Calibri" w:cs="Calibri" w:eastAsia="Calibri" w:hAnsi="Calibri"/>
          <w:b w:val="false"/>
          <w:bCs w:val="false"/>
          <w:color w:val="333333"/>
          <w:sz w:val="20"/>
          <w:szCs w:val="20"/>
        </w:rPr>
        <w:t xml:space="preserve">El responsable designado efectuará la inscripción por el medio correspondiente, por ejemplo: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Formulario web;</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Alta en boletín;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Suscripción RSS;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Lista de correo;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Portal de fabricante;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 de alertamiento especializado.</w:t>
      </w:r>
    </w:p>
    <w:p>
      <w:pPr>
        <w:pStyle w:val="Heading2"/>
        <w:spacing w:after="200" w:before="400" w:line="240"/>
        <w:jc w:val="left"/>
      </w:pPr>
      <w:r>
        <w:rPr>
          <w:rFonts w:ascii="Calibri" w:cs="Calibri" w:eastAsia="Calibri" w:hAnsi="Calibri"/>
          <w:b/>
          <w:bCs/>
          <w:color w:val="000000"/>
          <w:sz w:val="20"/>
          <w:szCs w:val="20"/>
        </w:rPr>
        <w:t xml:space="preserve">Integración de evidencia</w:t>
      </w:r>
    </w:p>
    <w:p>
      <w:pPr>
        <w:spacing w:after="120" w:before="0" w:line="276"/>
        <w:jc w:val="left"/>
      </w:pPr>
      <w:r>
        <w:rPr>
          <w:rFonts w:ascii="Calibri" w:cs="Calibri" w:eastAsia="Calibri" w:hAnsi="Calibri"/>
          <w:b w:val="false"/>
          <w:bCs w:val="false"/>
          <w:color w:val="333333"/>
          <w:sz w:val="20"/>
          <w:szCs w:val="20"/>
        </w:rPr>
        <w:t xml:space="preserve">Una vez realizada la inscripción, se deberá conservar evidencia que acredite el contacto institucional, pudiendo consistir en: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Formulario enviado;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Acuse de registro;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Correo de confirmación;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Captura de pantalla;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Exportación o evidencia del feed RSS;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habilitado al portal.</w:t>
      </w:r>
    </w:p>
    <w:p>
      <w:pPr>
        <w:pStyle w:val="Heading2"/>
        <w:spacing w:after="200" w:before="400" w:line="240"/>
        <w:jc w:val="left"/>
      </w:pPr>
      <w:r>
        <w:rPr>
          <w:rFonts w:ascii="Calibri" w:cs="Calibri" w:eastAsia="Calibri" w:hAnsi="Calibri"/>
          <w:b/>
          <w:bCs/>
          <w:color w:val="000000"/>
          <w:sz w:val="20"/>
          <w:szCs w:val="20"/>
        </w:rPr>
        <w:t xml:space="preserve">Registro en inventario maestro</w:t>
      </w:r>
    </w:p>
    <w:p>
      <w:pPr>
        <w:spacing w:after="120" w:before="0" w:line="276"/>
        <w:jc w:val="left"/>
      </w:pPr>
      <w:r>
        <w:rPr>
          <w:rFonts w:ascii="Calibri" w:cs="Calibri" w:eastAsia="Calibri" w:hAnsi="Calibri"/>
          <w:b w:val="false"/>
          <w:bCs w:val="false"/>
          <w:color w:val="333333"/>
          <w:sz w:val="20"/>
          <w:szCs w:val="20"/>
        </w:rPr>
        <w:t xml:space="preserve">El responsable registrará el contacto en el inventario maestro con al menos los siguientes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Folio interno;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grupo o fuente;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Organización emisora;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Tipo de canal;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Objetivo;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 o activo relacionado;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interno;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Ubicación de la evidencia;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Periodicidad de revisión;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Estatus.</w:t>
      </w:r>
    </w:p>
    <w:p>
      <w:pPr>
        <w:pStyle w:val="Heading2"/>
        <w:spacing w:after="200" w:before="400" w:line="240"/>
        <w:jc w:val="left"/>
      </w:pPr>
      <w:r>
        <w:rPr>
          <w:rFonts w:ascii="Calibri" w:cs="Calibri" w:eastAsia="Calibri" w:hAnsi="Calibri"/>
          <w:b/>
          <w:bCs/>
          <w:color w:val="000000"/>
          <w:sz w:val="20"/>
          <w:szCs w:val="20"/>
        </w:rPr>
        <w:t xml:space="preserve">Revisión periódica</w:t>
      </w:r>
    </w:p>
    <w:p>
      <w:pPr>
        <w:spacing w:after="120" w:before="0" w:line="276"/>
        <w:jc w:val="left"/>
      </w:pPr>
      <w:r>
        <w:rPr>
          <w:rFonts w:ascii="Calibri" w:cs="Calibri" w:eastAsia="Calibri" w:hAnsi="Calibri"/>
          <w:b w:val="false"/>
          <w:bCs w:val="false"/>
          <w:color w:val="333333"/>
          <w:sz w:val="20"/>
          <w:szCs w:val="20"/>
        </w:rPr>
        <w:t xml:space="preserve">Los grupos de interés especial deberán revisarse conforme a su criticidad: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Criticidad alta: revisión diaria o al momento de recibir alertas.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Criticidad media: revisión semanal.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Criticidad baja o informativa: revisión quincenal o mensual.</w:t>
      </w:r>
    </w:p>
    <w:p>
      <w:pPr>
        <w:spacing w:after="120" w:before="0" w:line="276"/>
        <w:jc w:val="left"/>
      </w:pPr>
      <w:r>
        <w:rPr>
          <w:rFonts w:ascii="Calibri" w:cs="Calibri" w:eastAsia="Calibri" w:hAnsi="Calibri"/>
          <w:b w:val="false"/>
          <w:bCs w:val="false"/>
          <w:color w:val="333333"/>
          <w:sz w:val="20"/>
          <w:szCs w:val="20"/>
        </w:rPr>
        <w:t xml:space="preserve">Cada revisión deberá quedar asentada en una bitácora.</w:t>
      </w:r>
    </w:p>
    <w:p>
      <w:pPr>
        <w:pStyle w:val="Heading2"/>
        <w:spacing w:after="200" w:before="400" w:line="240"/>
        <w:jc w:val="left"/>
      </w:pPr>
      <w:r>
        <w:rPr>
          <w:rFonts w:ascii="Calibri" w:cs="Calibri" w:eastAsia="Calibri" w:hAnsi="Calibri"/>
          <w:b/>
          <w:bCs/>
          <w:color w:val="000000"/>
          <w:sz w:val="20"/>
          <w:szCs w:val="20"/>
        </w:rPr>
        <w:t xml:space="preserve">Evaluación de aplicabilidad</w:t>
      </w:r>
    </w:p>
    <w:p>
      <w:pPr>
        <w:spacing w:after="120" w:before="0" w:line="276"/>
        <w:jc w:val="left"/>
      </w:pPr>
      <w:r>
        <w:rPr>
          <w:rFonts w:ascii="Calibri" w:cs="Calibri" w:eastAsia="Calibri" w:hAnsi="Calibri"/>
          <w:b w:val="false"/>
          <w:bCs w:val="false"/>
          <w:color w:val="333333"/>
          <w:sz w:val="20"/>
          <w:szCs w:val="20"/>
        </w:rPr>
        <w:t xml:space="preserve">Toda alerta o información recibida deberá clasificarse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Aplicable crítica;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Aplicable alta;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Aplicable media;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aplicable.</w:t>
      </w:r>
    </w:p>
    <w:p>
      <w:pPr>
        <w:spacing w:after="120" w:before="0" w:line="276"/>
        <w:jc w:val="left"/>
      </w:pPr>
      <w:r>
        <w:rPr>
          <w:rFonts w:ascii="Calibri" w:cs="Calibri" w:eastAsia="Calibri" w:hAnsi="Calibri"/>
          <w:b w:val="false"/>
          <w:bCs w:val="false"/>
          <w:color w:val="333333"/>
          <w:sz w:val="20"/>
          <w:szCs w:val="20"/>
        </w:rPr>
        <w:t xml:space="preserve">Cuando resulte aplicable, se deberá canalizar al proceso correspondiente: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Gestión de vulnerabilidades;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Control de cambios;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Atención a incidentes;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Análisis de riesgos;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Continuidad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Acciones preventivas.</w:t>
      </w:r>
    </w:p>
    <w:p>
      <w:pPr>
        <w:pStyle w:val="Heading2"/>
        <w:spacing w:after="200" w:before="400" w:line="240"/>
        <w:jc w:val="left"/>
      </w:pPr>
      <w:r>
        <w:rPr>
          <w:rFonts w:ascii="Calibri" w:cs="Calibri" w:eastAsia="Calibri" w:hAnsi="Calibri"/>
          <w:b/>
          <w:bCs/>
          <w:color w:val="000000"/>
          <w:sz w:val="20"/>
          <w:szCs w:val="20"/>
        </w:rPr>
        <w:t xml:space="preserve">Escalamiento</w:t>
      </w:r>
    </w:p>
    <w:p>
      <w:pPr>
        <w:spacing w:after="120" w:before="0" w:line="276"/>
        <w:jc w:val="left"/>
      </w:pPr>
      <w:r>
        <w:rPr>
          <w:rFonts w:ascii="Calibri" w:cs="Calibri" w:eastAsia="Calibri" w:hAnsi="Calibri"/>
          <w:b w:val="false"/>
          <w:bCs w:val="false"/>
          <w:color w:val="333333"/>
          <w:sz w:val="20"/>
          <w:szCs w:val="20"/>
        </w:rPr>
        <w:t xml:space="preserve">Se deberá escalar inmediatamente cuando la información recibida: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Afecte infraestructura crítica;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Implique exposición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Comprometa la confidencialidad, integridad o disponibilidad;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Requiera parcheo urgente;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Involucre un proveedor crítico o un servicio esencial.</w:t>
      </w:r>
    </w:p>
    <w:p>
      <w:pPr>
        <w:pStyle w:val="Heading2"/>
        <w:spacing w:after="200" w:before="400" w:line="240"/>
        <w:jc w:val="left"/>
      </w:pPr>
      <w:r>
        <w:rPr>
          <w:rFonts w:ascii="Calibri" w:cs="Calibri" w:eastAsia="Calibri" w:hAnsi="Calibri"/>
          <w:b/>
          <w:bCs/>
          <w:color w:val="000000"/>
          <w:sz w:val="20"/>
          <w:szCs w:val="20"/>
        </w:rPr>
        <w:t xml:space="preserve">Revisión trimestral de vigencia</w:t>
      </w:r>
    </w:p>
    <w:p>
      <w:pPr>
        <w:spacing w:after="120" w:before="0" w:line="276"/>
        <w:jc w:val="left"/>
      </w:pPr>
      <w:r>
        <w:rPr>
          <w:rFonts w:ascii="Calibri" w:cs="Calibri" w:eastAsia="Calibri" w:hAnsi="Calibri"/>
          <w:b w:val="false"/>
          <w:bCs w:val="false"/>
          <w:color w:val="333333"/>
          <w:sz w:val="20"/>
          <w:szCs w:val="20"/>
        </w:rPr>
        <w:t xml:space="preserve">Trimestralmente, el Responsable de Seguridad de la Información validará: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la suscripción siga activa;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la fuente siga siendo pertinente;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la evidencia esté completa;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el canal continúe generando valor;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 no existan duplicidades innecesarias.</w:t>
      </w:r>
    </w:p>
    <w:p>
      <w:pPr>
        <w:pStyle w:val="Heading2"/>
        <w:spacing w:after="200" w:before="400" w:line="240"/>
        <w:jc w:val="left"/>
      </w:pPr>
      <w:r>
        <w:rPr>
          <w:rFonts w:ascii="Calibri" w:cs="Calibri" w:eastAsia="Calibri" w:hAnsi="Calibri"/>
          <w:b/>
          <w:bCs/>
          <w:color w:val="000000"/>
          <w:sz w:val="20"/>
          <w:szCs w:val="20"/>
        </w:rPr>
        <w:t xml:space="preserve">Baja del contacto</w:t>
      </w:r>
    </w:p>
    <w:p>
      <w:pPr>
        <w:spacing w:after="120" w:before="0" w:line="276"/>
        <w:jc w:val="left"/>
      </w:pPr>
      <w:r>
        <w:rPr>
          <w:rFonts w:ascii="Calibri" w:cs="Calibri" w:eastAsia="Calibri" w:hAnsi="Calibri"/>
          <w:b w:val="false"/>
          <w:bCs w:val="false"/>
          <w:color w:val="333333"/>
          <w:sz w:val="20"/>
          <w:szCs w:val="20"/>
        </w:rPr>
        <w:t xml:space="preserve">Cuando un contacto deje de ser útil o pertinente, se procederá a su baja documental, dejando evidencia de: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Motivo de cancelación;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baja;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Responsable que autorizó;</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Conservación del histórico.</w:t>
      </w:r>
    </w:p>
    <w:p>
      <w:pPr>
        <w:pStyle w:val="Heading2"/>
        <w:spacing w:after="200" w:before="400" w:line="240"/>
        <w:jc w:val="left"/>
      </w:pPr>
      <w:r>
        <w:rPr>
          <w:rFonts w:ascii="Calibri" w:cs="Calibri" w:eastAsia="Calibri" w:hAnsi="Calibri"/>
          <w:b/>
          <w:bCs/>
          <w:color w:val="000000"/>
          <w:sz w:val="20"/>
          <w:szCs w:val="20"/>
        </w:rPr>
        <w:t xml:space="preserve">Registros</w:t>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conservar, como mínimo, los siguientes registros: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Maestro de Grupos de Interés Especial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Carpeta de Evidencias de Inscripción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 de Revisión de Alertas y Boletines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Registro de Acciones Derivadas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Reporte Trimestral de Vigencia</w:t>
      </w:r>
    </w:p>
    <w:p>
      <w:r>
        <w:t xml:space="preserve"> </w:t>
      </w:r>
    </w:p>
    <w:p>
      <w:pPr>
        <w:pStyle w:val="Heading1"/>
        <w:pBdr>
          <w:bottom w:val="single" w:color="D9D9D9" w:sz="4" w:space="8"/>
        </w:pBdr>
        <w:spacing w:after="200" w:before="400" w:line="240"/>
      </w:pPr>
      <w:bookmarkStart w:name="section_8_periodicidad_de_revision" w:id="1"/>
      <w:r>
        <w:t xml:space="preserve"/>
      </w:r>
      <w:bookmarkEnd w:id="1"/>
      <w:r>
        <w:rPr>
          <w:rFonts w:ascii="Calibri" w:cs="Calibri" w:eastAsia="Calibri" w:hAnsi="Calibri"/>
          <w:b/>
          <w:bCs/>
          <w:color w:val="000000"/>
          <w:sz w:val="28"/>
          <w:szCs w:val="28"/>
        </w:rPr>
        <w:t xml:space="preserve">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9_glosario" w:id="1"/>
      <w:r>
        <w:rPr>
          <w:rFonts w:ascii="Calibri" w:cs="Calibri" w:eastAsia="Calibri" w:hAnsi="Calibri"/>
          <w:b/>
          <w:bCs/>
          <w:color w:val="000000"/>
          <w:sz w:val="28"/>
          <w:szCs w:val="28"/>
        </w:rPr>
        <w:t xml:space="preserve">10.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contacto con grupos de interés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PR-SF-002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contacto con grupos de interés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contacto con grupos de inters</dc:title>
  <dc:subject>Proceso</dc:subject>
  <dc:creator>Administrador MAPLINKS</dc:creator>
  <cp:keywords>PR-SF-002</cp:keywords>
  <dc:description>Documento PR-SF-002</dc:description>
  <cp:lastModifiedBy>Administrador MAPLINKS</cp:lastModifiedBy>
  <cp:revision>1</cp:revision>
  <dcterms:created xsi:type="dcterms:W3CDTF">2026-09-30T21:33:04.295Z</dcterms:created>
  <dcterms:modified xsi:type="dcterms:W3CDTF">2026-09-30T21:33:04.295Z</dcterms:modified>
</cp:coreProperties>
</file>

<file path=docProps/custom.xml><?xml version="1.0" encoding="utf-8"?>
<Properties xmlns="http://schemas.openxmlformats.org/officeDocument/2006/custom-properties" xmlns:vt="http://schemas.openxmlformats.org/officeDocument/2006/docPropsVTypes"/>
</file>