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9/4/2026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presente política es el conjunto de lineamientos, criterios y controles establecidos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regular la forma en que la organización identifica, autoriza, mantiene, documenta y da seguimiento al contacto institucional con grupos de interés especial en materia de seguridad de la información y seguridad tecnológica, con el propósito de fortalecer la prevención, detección y atención oportuna de riesgos, vulnerabilidades, alertas e incidentes que puedan impactar la operación del monedero electrónico de combustibles.</w:t>
      </w:r>
    </w:p>
    <w:p>
      <w:pPr>
        <w:spacing w:after="120" w:before="0" w:line="276"/>
        <w:jc w:val="both"/>
      </w:pPr>
      <w:r>
        <w:rPr>
          <w:rFonts w:ascii="Calibri" w:cs="Calibri" w:eastAsia="Calibri" w:hAnsi="Calibri"/>
          <w:b w:val="false"/>
          <w:bCs w:val="false"/>
          <w:color w:val="333333"/>
          <w:sz w:val="20"/>
          <w:szCs w:val="20"/>
        </w:rPr>
        <w:t xml:space="preserve">Para efectos internos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se entenderá por </w:t>
      </w:r>
      <w:r>
        <w:rPr>
          <w:rFonts w:ascii="Calibri" w:cs="Calibri" w:eastAsia="Calibri" w:hAnsi="Calibri"/>
          <w:b/>
          <w:bCs/>
          <w:color w:val="333333"/>
          <w:sz w:val="20"/>
          <w:szCs w:val="20"/>
        </w:rPr>
        <w:t xml:space="preserve">contacto con grupos de interés especial</w:t>
      </w:r>
      <w:r>
        <w:rPr>
          <w:rFonts w:ascii="Calibri" w:cs="Calibri" w:eastAsia="Calibri" w:hAnsi="Calibri"/>
          <w:b w:val="false"/>
          <w:bCs w:val="false"/>
          <w:color w:val="333333"/>
          <w:sz w:val="20"/>
          <w:szCs w:val="20"/>
        </w:rPr>
        <w:t xml:space="preserve"> la vinculación formal, activa y verificable que mantiene la empresa con organizaciones, instituciones, fabricantes, comunidades técnicas, proveedores especializados, organismos de referencia, listas de distribución, servicios RSS, boletines, canales de alertamiento y demás fuentes confiables de información, cuyo objetivo sea proveer avisos, conocimiento, inteligencia, mejores prácticas o notificaciones relevantes para el monitoreo, mejora y prevención de incidentes de seguridad de la información y de tecnología.</w:t>
      </w:r>
    </w:p>
    <w:p>
      <w:pPr>
        <w:spacing w:after="120" w:before="0" w:line="276"/>
        <w:jc w:val="left"/>
      </w:pPr>
      <w:r>
        <w:rPr>
          <w:rFonts w:ascii="Calibri" w:cs="Calibri" w:eastAsia="Calibri" w:hAnsi="Calibri"/>
          <w:b w:val="false"/>
          <w:bCs w:val="false"/>
          <w:color w:val="333333"/>
          <w:sz w:val="20"/>
          <w:szCs w:val="20"/>
        </w:rPr>
        <w:t xml:space="preserve">Dicho contacto deberá ser: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Pertinente a la operación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Revisado periódicamente; y</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Conservado como evidencia de cumplimiento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lineamientos obligatorios para que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mantenga una relación formal y documentada con grupos de interés especial en materia de seguridad de la información y seguridad tecnológica, a fin de identificar oportunamente amenazas, vulnerabilidades, cambios técnicos relevantes, alertas de seguridad y buenas prácticas aplicables a la operación del monedero electrónico de combustibles.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presente política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Todas las áreas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involucradas en la administración, desarrollo, operación, soporte, seguridad, infraestructura, redes, bases de datos, continuidad, cumplimiento y monitoreo del monedero electrónico de combustibles;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el personal que tenga asignadas funciones relacionadas con seguridad de la información, gestión de riesgos, atención de incidentes y administración tecnológica;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mecanismos de suscripción o vinculación institucional con grupos de interés especial, tales como RSS, listas de correo, boletines, portales de alertas, notificaciones de fabricantes, comunicados de proveedores críticos y otras fuentes equivalentes.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FO-SF-002 — FO-SF-002_Alta_inscripcion_grupo_interes_SENDERO_FUEL.docx</w:t>
      </w:r>
    </w:p>
    <w:p>
      <w:pPr>
        <w:spacing w:after="60" w:before="60" w:line="276"/>
      </w:pPr>
      <w:r>
        <w:rPr>
          <w:rFonts w:ascii="Calibri" w:cs="Calibri" w:eastAsia="Calibri" w:hAnsi="Calibri"/>
          <w:b w:val="false"/>
          <w:bCs w:val="false"/>
          <w:color w:val="333333"/>
          <w:sz w:val="20"/>
          <w:szCs w:val="20"/>
        </w:rPr>
        <w:t xml:space="preserve">• FO-SF-003 — FO-SF-003_Registro_maestro_SENDERO_FUEL_v2.xlsx</w:t>
      </w:r>
    </w:p>
    <w:p>
      <w:pPr>
        <w:spacing w:after="60" w:before="60" w:line="276"/>
      </w:pPr>
      <w:r>
        <w:rPr>
          <w:rFonts w:ascii="Calibri" w:cs="Calibri" w:eastAsia="Calibri" w:hAnsi="Calibri"/>
          <w:b w:val="false"/>
          <w:bCs w:val="false"/>
          <w:color w:val="333333"/>
          <w:sz w:val="20"/>
          <w:szCs w:val="20"/>
        </w:rPr>
        <w:t xml:space="preserve">• FO-SF-004 — FO-SF-004_Bitacora_revision_alertas_boletines_avisos_SENDERO_FUEL.docx</w:t>
      </w:r>
    </w:p>
    <w:p>
      <w:pPr>
        <w:spacing w:after="60" w:before="60" w:line="276"/>
      </w:pPr>
      <w:r>
        <w:rPr>
          <w:rFonts w:ascii="Calibri" w:cs="Calibri" w:eastAsia="Calibri" w:hAnsi="Calibri"/>
          <w:b w:val="false"/>
          <w:bCs w:val="false"/>
          <w:color w:val="333333"/>
          <w:sz w:val="20"/>
          <w:szCs w:val="20"/>
        </w:rPr>
        <w:t xml:space="preserve">• FO-SF-005 — FO-SF-005_Evaluacion_aplicabilidad_alertas_SENDERO_FUEL.docx</w:t>
      </w:r>
    </w:p>
    <w:p>
      <w:pPr>
        <w:spacing w:after="60" w:before="60" w:line="276"/>
      </w:pPr>
      <w:r>
        <w:rPr>
          <w:rFonts w:ascii="Calibri" w:cs="Calibri" w:eastAsia="Calibri" w:hAnsi="Calibri"/>
          <w:b w:val="false"/>
          <w:bCs w:val="false"/>
          <w:color w:val="333333"/>
          <w:sz w:val="20"/>
          <w:szCs w:val="20"/>
        </w:rPr>
        <w:t xml:space="preserve">• FO-SF-006 — FO-SF-006_Registro_acciones_derivadas_SENDERO_FUEL.docx</w:t>
      </w:r>
    </w:p>
    <w:p>
      <w:pPr>
        <w:spacing w:after="60" w:before="60" w:line="276"/>
      </w:pPr>
      <w:r>
        <w:rPr>
          <w:rFonts w:ascii="Calibri" w:cs="Calibri" w:eastAsia="Calibri" w:hAnsi="Calibri"/>
          <w:b w:val="false"/>
          <w:bCs w:val="false"/>
          <w:color w:val="333333"/>
          <w:sz w:val="20"/>
          <w:szCs w:val="20"/>
        </w:rPr>
        <w:t xml:space="preserve">• FO-SF-007 — FO-SF-007_Reporte_trimestral_vigencia_cobertura_SENDERO_FUEL.docx</w:t>
      </w:r>
    </w:p>
    <w:p>
      <w:pPr>
        <w:spacing w:after="60" w:before="60" w:line="276"/>
      </w:pPr>
      <w:r>
        <w:rPr>
          <w:rFonts w:ascii="Calibri" w:cs="Calibri" w:eastAsia="Calibri" w:hAnsi="Calibri"/>
          <w:b w:val="false"/>
          <w:bCs w:val="false"/>
          <w:color w:val="333333"/>
          <w:sz w:val="20"/>
          <w:szCs w:val="20"/>
        </w:rPr>
        <w:t xml:space="preserve">• FO-SF-008 — FO-SF-008_Baja_cancelacion_contacto_SENDERO_FUEL.docx</w:t>
      </w:r>
    </w:p>
    <w:p>
      <w:pPr>
        <w:spacing w:after="60" w:before="60" w:line="276"/>
      </w:pPr>
      <w:r>
        <w:rPr>
          <w:rFonts w:ascii="Calibri" w:cs="Calibri" w:eastAsia="Calibri" w:hAnsi="Calibri"/>
          <w:b w:val="false"/>
          <w:bCs w:val="false"/>
          <w:color w:val="333333"/>
          <w:sz w:val="20"/>
          <w:szCs w:val="20"/>
        </w:rPr>
        <w:t xml:space="preserve">• req_7_PO_SF_004.pdf</w:t>
      </w:r>
    </w:p>
    <w:p>
      <w:pPr>
        <w:spacing w:after="60" w:before="60" w:line="276"/>
      </w:pPr>
      <w:r>
        <w:rPr>
          <w:rFonts w:ascii="Calibri" w:cs="Calibri" w:eastAsia="Calibri" w:hAnsi="Calibri"/>
          <w:b w:val="false"/>
          <w:bCs w:val="false"/>
          <w:color w:val="333333"/>
          <w:sz w:val="20"/>
          <w:szCs w:val="20"/>
        </w:rPr>
        <w:t xml:space="preserve">• EV-SF-028 — FO-SF-002 FORMATO DE ALTA DE INSCRIPCIÓN A GRUPO DE INTERES.pdf</w:t>
      </w:r>
    </w:p>
    <w:p>
      <w:pPr>
        <w:spacing w:after="60" w:before="60" w:line="276"/>
      </w:pPr>
      <w:r>
        <w:rPr>
          <w:rFonts w:ascii="Calibri" w:cs="Calibri" w:eastAsia="Calibri" w:hAnsi="Calibri"/>
          <w:b w:val="false"/>
          <w:bCs w:val="false"/>
          <w:color w:val="333333"/>
          <w:sz w:val="20"/>
          <w:szCs w:val="20"/>
        </w:rPr>
        <w:t xml:space="preserve">• EV-SF-029 — FO-SF-003 REGISTRO MAESTRO DE GRUPO DE INTERES.pdf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 de la Información</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los criterios de selección de grupos de interés especial.</w:t>
            </w:r>
          </w:p>
          <w:p>
            <w:pPr>
              <w:jc w:val="left"/>
            </w:pPr>
            <w:r>
              <w:rPr>
                <w:rFonts w:ascii="Calibri" w:cs="Calibri" w:eastAsia="Calibri" w:hAnsi="Calibri"/>
                <w:b w:val="false"/>
                <w:bCs w:val="false"/>
                <w:color w:val="333333"/>
                <w:sz w:val="18"/>
                <w:szCs w:val="18"/>
              </w:rPr>
              <w:t xml:space="preserve">·Autorizar altas, revisiones y bajas.</w:t>
            </w:r>
          </w:p>
          <w:p>
            <w:pPr>
              <w:jc w:val="left"/>
            </w:pPr>
            <w:r>
              <w:rPr>
                <w:rFonts w:ascii="Calibri" w:cs="Calibri" w:eastAsia="Calibri" w:hAnsi="Calibri"/>
                <w:b w:val="false"/>
                <w:bCs w:val="false"/>
                <w:color w:val="333333"/>
                <w:sz w:val="18"/>
                <w:szCs w:val="18"/>
              </w:rPr>
              <w:t xml:space="preserve">·Supervisar que exista evidencia suficiente.</w:t>
            </w:r>
          </w:p>
          <w:p>
            <w:pPr>
              <w:jc w:val="left"/>
            </w:pPr>
            <w:r>
              <w:rPr>
                <w:rFonts w:ascii="Calibri" w:cs="Calibri" w:eastAsia="Calibri" w:hAnsi="Calibri"/>
                <w:b w:val="false"/>
                <w:bCs w:val="false"/>
                <w:color w:val="333333"/>
                <w:sz w:val="18"/>
                <w:szCs w:val="18"/>
              </w:rPr>
              <w:t xml:space="preserve">·Escalar alertas relevantes.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Responsables de Infraestructura, Desarrollo, Operaciones y Soporte</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·Clasificar el incidente y determinar si pone en riesgo la información del contribuyente.</w:t>
            </w:r>
          </w:p>
          <w:p>
            <w:pPr>
              <w:jc w:val="left"/>
            </w:pPr>
            <w:r>
              <w:rPr>
                <w:rFonts w:ascii="Calibri" w:cs="Calibri" w:eastAsia="Calibri" w:hAnsi="Calibri"/>
                <w:b w:val="false"/>
                <w:bCs w:val="false"/>
                <w:color w:val="333333"/>
                <w:sz w:val="18"/>
                <w:szCs w:val="18"/>
              </w:rPr>
              <w:t xml:space="preserve">·Alimentar la base de conocimientos con las causas raíz detectadas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ntos" w:id="1"/>
      <w:r>
        <w:t xml:space="preserve"/>
      </w:r>
      <w:bookmarkEnd w:id="1"/>
      <w:r>
        <w:rPr>
          <w:rFonts w:ascii="Calibri" w:cs="Calibri" w:eastAsia="Calibri" w:hAnsi="Calibri"/>
          <w:b/>
          <w:bCs/>
          <w:color w:val="000000"/>
          <w:sz w:val="28"/>
          <w:szCs w:val="28"/>
        </w:rPr>
        <w:t xml:space="preserve">7. LINEAMIENTOS</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mantener un inventario actualizado de los grupos de interés especial con los que tenga contacto.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contacto deberá responder a una necesidad real de monitoreo de riesgos, vulnerabilidades, amenazas, continuidad o seguridad tecnológica.</w:t>
      </w:r>
    </w:p>
    <w:p>
      <w:pPr>
        <w:spacing w:after="120" w:before="0" w:line="276"/>
        <w:jc w:val="left"/>
      </w:pPr>
      <w:r>
        <w:rPr>
          <w:rFonts w:ascii="Calibri" w:cs="Calibri" w:eastAsia="Calibri" w:hAnsi="Calibri"/>
          <w:b w:val="false"/>
          <w:bCs w:val="false"/>
          <w:color w:val="333333"/>
          <w:sz w:val="20"/>
          <w:szCs w:val="20"/>
        </w:rPr>
        <w:t xml:space="preserve">Los contactos podrán incluir, de manera enunciativa mas no limitativa: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Fabricantes de software o hardware;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Proveedores de nube, telecomunicaciones o ciberseguridad;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Comunidades técnicas especializadas;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Fuentes de inteligencia de amenazas;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Listas de distribución de alertas;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Boletines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Servicios RSS;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Organismos especializados.</w:t>
      </w:r>
    </w:p>
    <w:p>
      <w:pPr>
        <w:spacing w:after="120" w:before="0" w:line="276"/>
        <w:jc w:val="left"/>
      </w:pPr>
      <w:r>
        <w:rPr>
          <w:rFonts w:ascii="Calibri" w:cs="Calibri" w:eastAsia="Calibri" w:hAnsi="Calibri"/>
          <w:b w:val="false"/>
          <w:bCs w:val="false"/>
          <w:color w:val="333333"/>
          <w:sz w:val="20"/>
          <w:szCs w:val="20"/>
        </w:rPr>
        <w:t xml:space="preserve">La suscripción o incorporación a cualquier grupo de interés especial deberá ser aprobada por el Responsable de Seguridad de la Información o por quien formalmente designe la Dirección.</w:t>
      </w:r>
    </w:p>
    <w:p>
      <w:pPr>
        <w:spacing w:after="120" w:before="0" w:line="276"/>
        <w:jc w:val="left"/>
      </w:pPr>
      <w:r>
        <w:rPr>
          <w:rFonts w:ascii="Calibri" w:cs="Calibri" w:eastAsia="Calibri" w:hAnsi="Calibri"/>
          <w:b w:val="false"/>
          <w:bCs w:val="false"/>
          <w:color w:val="333333"/>
          <w:sz w:val="20"/>
          <w:szCs w:val="20"/>
        </w:rPr>
        <w:t xml:space="preserve">SENDERO FUEL deberá conservar como evidencia mínima: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Formulario de inscripción;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Correo de confirmación;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Captura del alta;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Evidencia del canal activo;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Bitácoras de revisión;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Acciones derivadas, cuando apliquen.</w:t>
      </w:r>
    </w:p>
    <w:p>
      <w:pPr>
        <w:spacing w:after="120" w:before="0" w:line="276"/>
        <w:jc w:val="left"/>
      </w:pPr>
      <w:r>
        <w:rPr>
          <w:rFonts w:ascii="Calibri" w:cs="Calibri" w:eastAsia="Calibri" w:hAnsi="Calibri"/>
          <w:b w:val="false"/>
          <w:bCs w:val="false"/>
          <w:color w:val="333333"/>
          <w:sz w:val="20"/>
          <w:szCs w:val="20"/>
        </w:rPr>
        <w:t xml:space="preserve">Toda alerta, aviso o boletín recibido deberá evaluarse para determinar si:</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 aplicable 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Afecta activos críticos;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Requiere atención inmediata;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Genera acciones correctivas, preventivas o de mejora.</w:t>
      </w:r>
    </w:p>
    <w:p>
      <w:pPr>
        <w:spacing w:after="120" w:before="0" w:line="276"/>
        <w:jc w:val="left"/>
      </w:pPr>
      <w:r>
        <w:rPr>
          <w:rFonts w:ascii="Calibri" w:cs="Calibri" w:eastAsia="Calibri" w:hAnsi="Calibri"/>
          <w:b w:val="false"/>
          <w:bCs w:val="false"/>
          <w:color w:val="333333"/>
          <w:sz w:val="20"/>
          <w:szCs w:val="20"/>
        </w:rPr>
        <w:t xml:space="preserve">Las suscripciones deberán revisarse por lo menos de forma trimestral para confirmar su vigencia, utilidad y pertinencia.</w:t>
      </w:r>
    </w:p>
    <w:p>
      <w:pPr>
        <w:spacing w:after="120" w:before="0" w:line="276"/>
        <w:jc w:val="left"/>
      </w:pPr>
      <w:r>
        <w:rPr>
          <w:rFonts w:ascii="Calibri" w:cs="Calibri" w:eastAsia="Calibri" w:hAnsi="Calibri"/>
          <w:b w:val="false"/>
          <w:bCs w:val="false"/>
          <w:color w:val="333333"/>
          <w:sz w:val="20"/>
          <w:szCs w:val="20"/>
        </w:rPr>
        <w:t xml:space="preserve">La cancelación de un contacto deberá estar justificada y documentada.</w:t>
      </w:r>
    </w:p>
    <w:p>
      <w:r>
        <w:t xml:space="preserve"> </w:t>
      </w:r>
    </w:p>
    <w:p>
      <w:pPr>
        <w:pStyle w:val="Heading1"/>
        <w:pBdr>
          <w:bottom w:val="single" w:color="D9D9D9" w:sz="4" w:space="8"/>
        </w:pBdr>
        <w:spacing w:after="200" w:before="400" w:line="240"/>
      </w:pPr>
      <w:bookmarkStart w:name="section_7_conservacion_documental" w:id="1"/>
      <w:r>
        <w:t xml:space="preserve"/>
      </w:r>
      <w:bookmarkEnd w:id="1"/>
      <w:r>
        <w:rPr>
          <w:rFonts w:ascii="Calibri" w:cs="Calibri" w:eastAsia="Calibri" w:hAnsi="Calibri"/>
          <w:b/>
          <w:bCs/>
          <w:color w:val="000000"/>
          <w:sz w:val="28"/>
          <w:szCs w:val="28"/>
        </w:rPr>
        <w:t xml:space="preserve">8. CONSERVACIÓN DOCUMENTAL</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Toda la evidencia generada con motivo de esta política deberá almacenarse en repositorios institucionales con acceso controlado, respaldos y trazabilidad, conforme a las políticas internas de seguridad de la información y gestión documental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8_penalizaciones_por_incumplimiento" w:id="1"/>
      <w:r>
        <w:t xml:space="preserve"/>
      </w:r>
      <w:bookmarkEnd w:id="1"/>
      <w:r>
        <w:rPr>
          <w:rFonts w:ascii="Calibri" w:cs="Calibri" w:eastAsia="Calibri" w:hAnsi="Calibri"/>
          <w:b/>
          <w:bCs/>
          <w:color w:val="000000"/>
          <w:sz w:val="28"/>
          <w:szCs w:val="28"/>
        </w:rPr>
        <w:t xml:space="preserve">9. PENALIZACIONES POR INCUMPLIMIENTO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incumplimiento de los lineamientos establecidos en esta política será sujeto a sanciones conforme a la normativa interna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y la gravedad de la falta:</w:t>
      </w:r>
    </w:p>
    <w:p>
      <w:pPr>
        <w:pStyle w:val="ListParagraph"/>
        <w:numPr>
          <w:ilvl w:val="0"/>
          <w:numId w:val="1"/>
        </w:numPr>
        <w:spacing w:line="276"/>
        <w:jc w:val="left"/>
      </w:pPr>
      <w:r>
        <w:rPr>
          <w:rFonts w:ascii="Calibri" w:cs="Calibri" w:eastAsia="Calibri" w:hAnsi="Calibri"/>
          <w:b/>
          <w:bCs/>
          <w:color w:val="333333"/>
          <w:sz w:val="20"/>
          <w:szCs w:val="20"/>
        </w:rPr>
        <w:t xml:space="preserve">Faltas Leves (Ej. Omisión de lectura de boletines de seguridad):</w:t>
      </w:r>
      <w:r>
        <w:rPr>
          <w:rFonts w:ascii="Calibri" w:cs="Calibri" w:eastAsia="Calibri" w:hAnsi="Calibri"/>
          <w:b w:val="false"/>
          <w:bCs w:val="false"/>
          <w:color w:val="333333"/>
          <w:sz w:val="20"/>
          <w:szCs w:val="20"/>
        </w:rPr>
        <w:t xml:space="preserve"> Amonestación verbal y re-capacitación inmediata sobre la importancia de la inteligencia de amenazas.</w:t>
      </w:r>
    </w:p>
    <w:p>
      <w:pPr>
        <w:pStyle w:val="ListParagraph"/>
        <w:numPr>
          <w:ilvl w:val="0"/>
          <w:numId w:val="1"/>
        </w:numPr>
        <w:spacing w:line="276"/>
        <w:jc w:val="left"/>
      </w:pPr>
      <w:r>
        <w:rPr>
          <w:rFonts w:ascii="Calibri" w:cs="Calibri" w:eastAsia="Calibri" w:hAnsi="Calibri"/>
          <w:b/>
          <w:bCs/>
          <w:color w:val="333333"/>
          <w:sz w:val="20"/>
          <w:szCs w:val="20"/>
        </w:rPr>
        <w:t xml:space="preserve">Faltas Graves (Ej. Permitir la expiración de suscripciones críticas o no reportar una alerta de vulnerabilidad detectada en los boletines):</w:t>
      </w:r>
      <w:r>
        <w:rPr>
          <w:rFonts w:ascii="Calibri" w:cs="Calibri" w:eastAsia="Calibri" w:hAnsi="Calibri"/>
          <w:b w:val="false"/>
          <w:bCs w:val="false"/>
          <w:color w:val="333333"/>
          <w:sz w:val="20"/>
          <w:szCs w:val="20"/>
        </w:rPr>
        <w:t xml:space="preserve"> Amonestación por escrito con copia al expediente laboral y posible suspensión de funciones relacionadas con la administración de sistemas.</w:t>
      </w:r>
    </w:p>
    <w:p>
      <w:pPr>
        <w:pStyle w:val="ListParagraph"/>
        <w:numPr>
          <w:ilvl w:val="0"/>
          <w:numId w:val="1"/>
        </w:numPr>
        <w:spacing w:line="276"/>
        <w:jc w:val="left"/>
      </w:pPr>
      <w:r>
        <w:rPr>
          <w:rFonts w:ascii="Calibri" w:cs="Calibri" w:eastAsia="Calibri" w:hAnsi="Calibri"/>
          <w:b/>
          <w:bCs/>
          <w:color w:val="333333"/>
          <w:sz w:val="20"/>
          <w:szCs w:val="20"/>
        </w:rPr>
        <w:t xml:space="preserve">Faltas Críticas (Ej. Omisión deliberada que resulte en la materialización de un riesgo por no seguir las alertas de los grupos de interés):</w:t>
      </w:r>
      <w:r>
        <w:rPr>
          <w:rFonts w:ascii="Calibri" w:cs="Calibri" w:eastAsia="Calibri" w:hAnsi="Calibri"/>
          <w:b w:val="false"/>
          <w:bCs w:val="false"/>
          <w:color w:val="333333"/>
          <w:sz w:val="20"/>
          <w:szCs w:val="20"/>
        </w:rPr>
        <w:t xml:space="preserve"> Terminación de la relación contractual, sin perjuicio de las acciones legales que correspondan por poner en riesgo la confidencialidad de la información de los contribuyentes.</w:t>
      </w:r>
    </w:p>
    <w:p>
      <w:r>
        <w:t xml:space="preserve"> </w:t>
      </w:r>
    </w:p>
    <w:p>
      <w:pPr>
        <w:pStyle w:val="Heading1"/>
        <w:pBdr>
          <w:bottom w:val="single" w:color="D9D9D9" w:sz="4" w:space="8"/>
        </w:pBdr>
        <w:spacing w:after="200" w:before="400" w:line="240"/>
      </w:pPr>
      <w:bookmarkStart w:name="section_9_periodicidad_de_revision" w:id="1"/>
      <w:r>
        <w:t xml:space="preserve"/>
      </w:r>
      <w:bookmarkEnd w:id="1"/>
      <w:r>
        <w:rPr>
          <w:rFonts w:ascii="Calibri" w:cs="Calibri" w:eastAsia="Calibri" w:hAnsi="Calibri"/>
          <w:b/>
          <w:bCs/>
          <w:color w:val="000000"/>
          <w:sz w:val="28"/>
          <w:szCs w:val="28"/>
        </w:rPr>
        <w:t xml:space="preserve">10.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0_glosario" w:id="1"/>
      <w:r>
        <w:rPr>
          <w:rFonts w:ascii="Calibri" w:cs="Calibri" w:eastAsia="Calibri" w:hAnsi="Calibri"/>
          <w:b/>
          <w:bCs/>
          <w:color w:val="000000"/>
          <w:sz w:val="28"/>
          <w:szCs w:val="28"/>
        </w:rPr>
        <w:t xml:space="preserve">11.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contacto con grupos de interés especial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contacto con grupos de interés especial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contacto con grupos de inters especial</dc:title>
  <dc:subject>Poltica</dc:subject>
  <dc:creator>Administrador MAPLINKS</dc:creator>
  <cp:keywords>PO-SF-004</cp:keywords>
  <dc:description>Documento PO-SF-004</dc:description>
  <cp:lastModifiedBy>Administrador MAPLINKS</cp:lastModifiedBy>
  <cp:revision>1</cp:revision>
  <dcterms:created xsi:type="dcterms:W3CDTF">2026-09-30T21:33:04.618Z</dcterms:created>
  <dcterms:modified xsi:type="dcterms:W3CDTF">2026-09-30T21:33:04.618Z</dcterms:modified>
</cp:coreProperties>
</file>

<file path=docProps/custom.xml><?xml version="1.0" encoding="utf-8"?>
<Properties xmlns="http://schemas.openxmlformats.org/officeDocument/2006/custom-properties" xmlns:vt="http://schemas.openxmlformats.org/officeDocument/2006/docPropsVTypes"/>
</file>