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9/4/2026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proceso formal de notificación al SAT, lo entendemos como la capacidad operativa y legal de informar de manera proactiva, técnica y oportuna a la autoridad, sobre cualquier falla en la infraestructura o evento de seguridad que comprometa la </w:t>
      </w:r>
      <w:r>
        <w:rPr>
          <w:rFonts w:ascii="Calibri" w:cs="Calibri" w:eastAsia="Calibri" w:hAnsi="Calibri"/>
          <w:b/>
          <w:bCs/>
          <w:color w:val="333333"/>
          <w:sz w:val="20"/>
          <w:szCs w:val="20"/>
        </w:rPr>
        <w:t xml:space="preserve">confidencialidad, integridad o disponibilidad</w:t>
      </w:r>
      <w:r>
        <w:rPr>
          <w:rFonts w:ascii="Calibri" w:cs="Calibri" w:eastAsia="Calibri" w:hAnsi="Calibri"/>
          <w:b w:val="false"/>
          <w:bCs w:val="false"/>
          <w:color w:val="333333"/>
          <w:sz w:val="20"/>
          <w:szCs w:val="20"/>
        </w:rPr>
        <w:t xml:space="preserve"> de la información de los contribuyentes. Este procedimiento es el eslabón final de la gestión de incidentes que garantiza la transparencia ante el regulador.</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Establecer los pasos detallados que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debe seguir para notificar al Servicio de </w:t>
      </w:r>
      <w:r>
        <w:rPr>
          <w:rFonts w:ascii="Calibri" w:cs="Calibri" w:eastAsia="Calibri" w:hAnsi="Calibri"/>
          <w:b/>
          <w:bCs/>
          <w:color w:val="333333"/>
          <w:sz w:val="20"/>
          <w:szCs w:val="20"/>
        </w:rPr>
        <w:t xml:space="preserve">Administración Tributaria (SAT) </w:t>
      </w:r>
      <w:r>
        <w:rPr>
          <w:rFonts w:ascii="Calibri" w:cs="Calibri" w:eastAsia="Calibri" w:hAnsi="Calibri"/>
          <w:b w:val="false"/>
          <w:bCs w:val="false"/>
          <w:color w:val="333333"/>
          <w:sz w:val="20"/>
          <w:szCs w:val="20"/>
        </w:rPr>
        <w:t xml:space="preserve">sobre fallas en la infraestructura o incidentes de seguridad que afecten la confidencialidad, integridad o disponibilidad de la información de los contribuyentes.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proceso inicia desde la clasificación de un evento como "incidente de alto impacto" y termina con el cierre de la notificación ante el </w:t>
      </w:r>
      <w:r>
        <w:rPr>
          <w:rFonts w:ascii="Calibri" w:cs="Calibri" w:eastAsia="Calibri" w:hAnsi="Calibri"/>
          <w:b/>
          <w:bCs/>
          <w:color w:val="333333"/>
          <w:sz w:val="20"/>
          <w:szCs w:val="20"/>
        </w:rPr>
        <w:t xml:space="preserve">SAT</w:t>
      </w:r>
      <w:r>
        <w:rPr>
          <w:rFonts w:ascii="Calibri" w:cs="Calibri" w:eastAsia="Calibri" w:hAnsi="Calibri"/>
          <w:b w:val="false"/>
          <w:bCs w:val="false"/>
          <w:color w:val="333333"/>
          <w:sz w:val="20"/>
          <w:szCs w:val="20"/>
        </w:rPr>
        <w:t xml:space="preserve">. Aplica a toda la infraestructura tecnológica, sistemas operativos y activos vinculados a la operación de monederos de combustible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3_roles_y_responsabilidades" w:id="1"/>
      <w:r>
        <w:t xml:space="preserve"/>
      </w:r>
      <w:bookmarkEnd w:id="1"/>
      <w:r>
        <w:rPr>
          <w:rFonts w:ascii="Calibri" w:cs="Calibri" w:eastAsia="Calibri" w:hAnsi="Calibri"/>
          <w:b/>
          <w:bCs/>
          <w:color w:val="000000"/>
          <w:sz w:val="28"/>
          <w:szCs w:val="28"/>
        </w:rPr>
        <w:t xml:space="preserve">4.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TI / Administrador de Sistemas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·Detectar fallas en la infraestructura o anomalías en el procesamiento de transacciones.</w:t>
            </w:r>
          </w:p>
          <w:p>
            <w:pPr>
              <w:jc w:val="left"/>
            </w:pPr>
            <w:r>
              <w:rPr>
                <w:rFonts w:ascii="Calibri" w:cs="Calibri" w:eastAsia="Calibri" w:hAnsi="Calibri"/>
                <w:b w:val="false"/>
                <w:bCs w:val="false"/>
                <w:color w:val="333333"/>
                <w:sz w:val="18"/>
                <w:szCs w:val="18"/>
              </w:rPr>
              <w:t xml:space="preserve">·Recopilar la evidencia técnica inicial (logs, identificador de usuario, origen de la conexión)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·Clasificar el incidente y determinar si pone en riesgo la información del contribuyente.</w:t>
            </w:r>
          </w:p>
          <w:p>
            <w:pPr>
              <w:jc w:val="left"/>
            </w:pPr>
            <w:r>
              <w:rPr>
                <w:rFonts w:ascii="Calibri" w:cs="Calibri" w:eastAsia="Calibri" w:hAnsi="Calibri"/>
                <w:b w:val="false"/>
                <w:bCs w:val="false"/>
                <w:color w:val="333333"/>
                <w:sz w:val="18"/>
                <w:szCs w:val="18"/>
              </w:rPr>
              <w:t xml:space="preserve">·Alimentar la base de conocimientos con las causas raíz detectadas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Representante Legal: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·Actuar como el contacto oficial y formal ante el </w:t>
            </w:r>
            <w:r>
              <w:rPr>
                <w:rFonts w:ascii="Calibri" w:cs="Calibri" w:eastAsia="Calibri" w:hAnsi="Calibri"/>
                <w:b/>
                <w:bCs/>
                <w:color w:val="333333"/>
                <w:sz w:val="18"/>
                <w:szCs w:val="18"/>
              </w:rPr>
              <w:t xml:space="preserve">SAT </w:t>
            </w:r>
            <w:r>
              <w:rPr>
                <w:rFonts w:ascii="Calibri" w:cs="Calibri" w:eastAsia="Calibri" w:hAnsi="Calibri"/>
                <w:b w:val="false"/>
                <w:bCs w:val="false"/>
                <w:color w:val="333333"/>
                <w:sz w:val="18"/>
                <w:szCs w:val="18"/>
              </w:rPr>
              <w:t xml:space="preserve">para la entrega de reportes.</w:t>
            </w:r>
          </w:p>
          <w:p>
            <w:pPr>
              <w:jc w:val="left"/>
            </w:pPr>
            <w:r>
              <w:rPr>
                <w:rFonts w:ascii="Calibri" w:cs="Calibri" w:eastAsia="Calibri" w:hAnsi="Calibri"/>
                <w:b w:val="false"/>
                <w:bCs w:val="false"/>
                <w:color w:val="333333"/>
                <w:sz w:val="18"/>
                <w:szCs w:val="18"/>
              </w:rPr>
              <w:t xml:space="preserve">·Firmar y rubricar los informes de remediación y resultados de la ejecución de planes de respuesta.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4_normatividad_aplicable" w:id="1"/>
      <w:r>
        <w:t xml:space="preserve"/>
      </w:r>
      <w:bookmarkEnd w:id="1"/>
      <w:r>
        <w:rPr>
          <w:rFonts w:ascii="Calibri" w:cs="Calibri" w:eastAsia="Calibri" w:hAnsi="Calibri"/>
          <w:b/>
          <w:bCs/>
          <w:color w:val="000000"/>
          <w:sz w:val="28"/>
          <w:szCs w:val="28"/>
        </w:rPr>
        <w:t xml:space="preserve">5.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5_formatos_relacionados" w:id="1"/>
      <w:r>
        <w:t xml:space="preserve"/>
      </w:r>
      <w:bookmarkEnd w:id="1"/>
      <w:r>
        <w:rPr>
          <w:rFonts w:ascii="Calibri" w:cs="Calibri" w:eastAsia="Calibri" w:hAnsi="Calibri"/>
          <w:b/>
          <w:bCs/>
          <w:color w:val="000000"/>
          <w:sz w:val="28"/>
          <w:szCs w:val="28"/>
        </w:rPr>
        <w:t xml:space="preserve">6.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FO-SF-001 — F_SF_001.xlsx</w:t>
      </w:r>
    </w:p>
    <w:p>
      <w:pPr>
        <w:spacing w:after="60" w:before="60" w:line="276"/>
      </w:pPr>
      <w:r>
        <w:rPr>
          <w:rFonts w:ascii="Calibri" w:cs="Calibri" w:eastAsia="Calibri" w:hAnsi="Calibri"/>
          <w:b w:val="false"/>
          <w:bCs w:val="false"/>
          <w:color w:val="333333"/>
          <w:sz w:val="20"/>
          <w:szCs w:val="20"/>
        </w:rPr>
        <w:t xml:space="preserve">• req_6_PR_SF_001.pdf</w:t>
      </w:r>
    </w:p>
    <w:p>
      <w:r>
        <w:t xml:space="preserve"> </w:t>
      </w:r>
    </w:p>
    <w:p>
      <w:pPr>
        <w:pStyle w:val="Heading1"/>
        <w:pBdr>
          <w:bottom w:val="single" w:color="D9D9D9" w:sz="4" w:space="8"/>
        </w:pBdr>
        <w:spacing w:after="200" w:before="400" w:line="240"/>
      </w:pPr>
      <w:bookmarkStart w:name="section_6_descripcion_del_procedimiento" w:id="1"/>
      <w:r>
        <w:t xml:space="preserve"/>
      </w:r>
      <w:bookmarkEnd w:id="1"/>
      <w:r>
        <w:rPr>
          <w:rFonts w:ascii="Calibri" w:cs="Calibri" w:eastAsia="Calibri" w:hAnsi="Calibri"/>
          <w:b/>
          <w:bCs/>
          <w:color w:val="000000"/>
          <w:sz w:val="28"/>
          <w:szCs w:val="28"/>
        </w:rPr>
        <w:t xml:space="preserve">7. DESCRIPCIÓN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Supuestos de notificación al SAT</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Compromiso real o potencial de información de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no autorizado a sistemas o bases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Alteración, borrado, corrupción o pérdida de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Indisponibilidad de sistemas críticos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Fallas de infraestructura que afecten autenticación, procesamiento, liquidación, compensación o trazabilidad.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Malware, ransomware, intrusión, exfiltración o explotación de vulnerabilidades.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Incidentes en proveedores que impacten servicios relacionados con la operación del monedero.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otra situación que ponga en riesgo la confidencialidad, integridad o disponibilidad de la información.</w:t>
      </w:r>
    </w:p>
    <w:p>
      <w:pPr>
        <w:pStyle w:val="Heading2"/>
        <w:spacing w:after="200" w:before="400" w:line="240"/>
        <w:jc w:val="left"/>
      </w:pPr>
      <w:r>
        <w:rPr>
          <w:rFonts w:ascii="Calibri" w:cs="Calibri" w:eastAsia="Calibri" w:hAnsi="Calibri"/>
          <w:b/>
          <w:bCs/>
          <w:color w:val="000000"/>
          <w:sz w:val="20"/>
          <w:szCs w:val="20"/>
        </w:rPr>
        <w:t xml:space="preserve">Detección y Clasificación Inicial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incidente se identifica mediante herramientas de monitoreo, alertas de código malicioso o reportes de usuarios.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Oficial de Seguridad determina si el evento pone en riesgo la información de los contribuyentes (datos personales, saldos, transacciones)</w:t>
      </w:r>
    </w:p>
    <w:p>
      <w:pPr>
        <w:pStyle w:val="Heading2"/>
        <w:spacing w:after="200" w:before="400" w:line="240"/>
        <w:jc w:val="left"/>
      </w:pPr>
      <w:r>
        <w:rPr>
          <w:rFonts w:ascii="Calibri" w:cs="Calibri" w:eastAsia="Calibri" w:hAnsi="Calibri"/>
          <w:b/>
          <w:bCs/>
          <w:color w:val="000000"/>
          <w:sz w:val="20"/>
          <w:szCs w:val="20"/>
        </w:rPr>
        <w:t xml:space="preserve">Activación del Comité de Crisis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incidente se clasifica como "Crítico" o "Grave", el Oficial de Seguridad notifica a la Dirección en un plazo no mayor a 2 horas tras la detección.</w:t>
      </w:r>
    </w:p>
    <w:p>
      <w:pPr>
        <w:pStyle w:val="Heading2"/>
        <w:spacing w:after="200" w:before="400" w:line="240"/>
        <w:jc w:val="left"/>
      </w:pPr>
      <w:r>
        <w:rPr>
          <w:rFonts w:ascii="Calibri" w:cs="Calibri" w:eastAsia="Calibri" w:hAnsi="Calibri"/>
          <w:b/>
          <w:bCs/>
          <w:color w:val="000000"/>
          <w:sz w:val="20"/>
          <w:szCs w:val="20"/>
        </w:rPr>
        <w:t xml:space="preserve">Preparación del Reporte Técnico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Oficial de Seguridad elabora un informe que incluya: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Naturaleza de la falla: (Ej. Caída de servidor, acceso no autorizado, pérdida de integridad en base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afectados: Identificación de los servidores o redes impactadas de acuerdo al inventario.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Impacto estimado: Número de contribuyentes o transacciones potencialmente comprometidas.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Medidas de mitigación: Acciones tomadas para contener la falla.</w:t>
      </w:r>
    </w:p>
    <w:p>
      <w:pPr>
        <w:pStyle w:val="Heading2"/>
        <w:spacing w:after="200" w:before="400" w:line="240"/>
        <w:jc w:val="left"/>
      </w:pPr>
      <w:r>
        <w:rPr>
          <w:rFonts w:ascii="Calibri" w:cs="Calibri" w:eastAsia="Calibri" w:hAnsi="Calibri"/>
          <w:b/>
          <w:bCs/>
          <w:color w:val="000000"/>
          <w:sz w:val="20"/>
          <w:szCs w:val="20"/>
        </w:rPr>
        <w:t xml:space="preserve">Notificación al SAT</w:t>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contactará al SAT a través de los siguientes canales oficiales: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Medio Primario: Mediante escrito libre firmado por el Representante Legal, presentado ante la Administración General de Comunicaciones y Tecnologías de la Información (</w:t>
      </w:r>
      <w:r>
        <w:rPr>
          <w:rFonts w:ascii="Calibri" w:cs="Calibri" w:eastAsia="Calibri" w:hAnsi="Calibri"/>
          <w:b/>
          <w:bCs/>
          <w:color w:val="333333"/>
          <w:sz w:val="20"/>
          <w:szCs w:val="20"/>
        </w:rPr>
        <w:t xml:space="preserve">AGCTI</w:t>
      </w:r>
      <w:r>
        <w:rPr>
          <w:rFonts w:ascii="Calibri" w:cs="Calibri" w:eastAsia="Calibri" w:hAnsi="Calibri"/>
          <w:b w:val="false"/>
          <w:bCs w:val="false"/>
          <w:color w:val="333333"/>
          <w:sz w:val="20"/>
          <w:szCs w:val="20"/>
        </w:rPr>
        <w:t xml:space="preserve">) o el canal digital que el SAT determine para tales efectos.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Plazo de Notificación: Se establece un compromiso de notificación en un periodo máximo de 24 horas tras haber confirmado la afectación a la información de los contribuyentes.</w:t>
      </w:r>
    </w:p>
    <w:p>
      <w:pPr>
        <w:pStyle w:val="Heading2"/>
        <w:spacing w:after="200" w:before="400" w:line="240"/>
        <w:jc w:val="left"/>
      </w:pPr>
      <w:r>
        <w:rPr>
          <w:rFonts w:ascii="Calibri" w:cs="Calibri" w:eastAsia="Calibri" w:hAnsi="Calibri"/>
          <w:b/>
          <w:bCs/>
          <w:color w:val="000000"/>
          <w:sz w:val="20"/>
          <w:szCs w:val="20"/>
        </w:rPr>
        <w:t xml:space="preserve">Seguimiento y Cierre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mantendrá una línea de comunicación abierta con el personal verificador del SAT para cualquier aclaración o auditoría en sitio.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evidencia de la comunicación (acuse de recibo, correos electrónicos oficiales, bitácoras) se resguardará como evidencia de cumplimiento.</w:t>
      </w:r>
    </w:p>
    <w:p>
      <w:r>
        <w:t xml:space="preserve"> </w:t>
      </w:r>
    </w:p>
    <w:p>
      <w:pPr>
        <w:pStyle w:val="Heading1"/>
        <w:pBdr>
          <w:bottom w:val="single" w:color="D9D9D9" w:sz="4" w:space="8"/>
        </w:pBdr>
        <w:spacing w:after="200" w:before="400" w:line="240"/>
      </w:pPr>
      <w:bookmarkStart w:name="section_7_periodicidad_de_revision" w:id="1"/>
      <w:r>
        <w:t xml:space="preserve"/>
      </w:r>
      <w:bookmarkEnd w:id="1"/>
      <w:r>
        <w:rPr>
          <w:rFonts w:ascii="Calibri" w:cs="Calibri" w:eastAsia="Calibri" w:hAnsi="Calibri"/>
          <w:b/>
          <w:bCs/>
          <w:color w:val="000000"/>
          <w:sz w:val="28"/>
          <w:szCs w:val="28"/>
        </w:rPr>
        <w:t xml:space="preserve">8.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8_glosario" w:id="1"/>
      <w:r>
        <w:rPr>
          <w:rFonts w:ascii="Calibri" w:cs="Calibri" w:eastAsia="Calibri" w:hAnsi="Calibri"/>
          <w:b/>
          <w:bCs/>
          <w:color w:val="000000"/>
          <w:sz w:val="28"/>
          <w:szCs w:val="28"/>
        </w:rPr>
        <w:t xml:space="preserve">9.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comunicación de incidentes al SAT</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comunicación de incidentes al SAT</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comunicacin de incidentes al SAT</dc:title>
  <dc:subject>Proceso</dc:subject>
  <dc:creator>Administrador MAPLINKS</dc:creator>
  <cp:keywords>PR-SF-001</cp:keywords>
  <dc:description>Documento PR-SF-001</dc:description>
  <cp:lastModifiedBy>Administrador MAPLINKS</cp:lastModifiedBy>
  <cp:revision>1</cp:revision>
  <dcterms:created xsi:type="dcterms:W3CDTF">2026-09-30T21:33:03.995Z</dcterms:created>
  <dcterms:modified xsi:type="dcterms:W3CDTF">2026-09-30T21:33:03.995Z</dcterms:modified>
</cp:coreProperties>
</file>

<file path=docProps/custom.xml><?xml version="1.0" encoding="utf-8"?>
<Properties xmlns="http://schemas.openxmlformats.org/officeDocument/2006/custom-properties" xmlns:vt="http://schemas.openxmlformats.org/officeDocument/2006/docPropsVTypes"/>
</file>