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9/4/2026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9/4/2026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6/4/2026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la prevención de conflictos de interés consiste en establecer, comunicar y hacer cumplir reglas, controles y responsabilidades que aseguren que toda decisión, operación, autorización, supervisión o acceso relacionado con el monedero electrónico de combustibles se realice de manera </w:t>
      </w:r>
      <w:r>
        <w:rPr>
          <w:rFonts w:ascii="Calibri" w:cs="Calibri" w:eastAsia="Calibri" w:hAnsi="Calibri"/>
          <w:b/>
          <w:bCs/>
          <w:color w:val="333333"/>
          <w:sz w:val="20"/>
          <w:szCs w:val="20"/>
        </w:rPr>
        <w:t xml:space="preserve">imparcial, objetiva, íntegra y trazable</w:t>
      </w:r>
      <w:r>
        <w:rPr>
          <w:rFonts w:ascii="Calibri" w:cs="Calibri" w:eastAsia="Calibri" w:hAnsi="Calibri"/>
          <w:b w:val="false"/>
          <w:bCs w:val="false"/>
          <w:color w:val="333333"/>
          <w:sz w:val="20"/>
          <w:szCs w:val="20"/>
        </w:rPr>
        <w:t xml:space="preserve">, evitando que intereses personales, familiares, comerciales o de cualquier otra índole influyan indebidamente en el desempeño de las funciones del personal, directivos, proveedores o terceros autorizados.</w:t>
      </w:r>
    </w:p>
    <w:p>
      <w:pPr>
        <w:spacing w:after="120" w:before="0"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entiende por conflicto de interés cualquier situación real, potencial o aparente en la que una persona, por su posición, relación o interés particular, pueda comprometer o poner en duda la independencia, objetividad, confidencialidad, integridad o legalidad de sus decisiones o actividades dentro de la organización.</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mediante los cuales la organización previene, identifica, controla y corrige posibles conflictos de intereses entre los diferentes puestos, en relación con sus actividades, roles y responsabilidades, particularmente en los procesos relacionados con la operación del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 el acceso a la información, la administración tecnológica, la autorización de transacciones, la seguridad de la información y la supervisión de controles.</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presente política es obligatoria para: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miembros del Consejo, Dirección, mandos medios y personal operativo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Personal interno con acceso a información, activos, sistemas, bases de datos, procesos transaccionales, infraestructura tecnológica o funciones de control relacionadas con el monedero electrónico de combustibles.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Proveedores, contratistas, prestadores de servicios, asesores, auditores externos y cualquier tercero que, por motivo de sus funciones, tenga acceso a información de contribuyentes, información sensible, sistemas o procesos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procesos vinculados con el ciclo de vida del servicio de monedero electrónico de combustibles, incluyendo contratación, operación, desarrollo, soporte, administración de accesos, monitoreo, seguridad de la información, atención a incidentes, relación con estaciones de servicio, clientes y terceros.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FO-SF-061 — FO-SF-0061_Matriz_segregacion_funciones_SENDERO_FUEL.xlsx</w:t>
      </w:r>
    </w:p>
    <w:p>
      <w:pPr>
        <w:spacing w:after="60" w:before="60" w:line="276"/>
      </w:pPr>
      <w:r>
        <w:rPr>
          <w:rFonts w:ascii="Calibri" w:cs="Calibri" w:eastAsia="Calibri" w:hAnsi="Calibri"/>
          <w:b w:val="false"/>
          <w:bCs w:val="false"/>
          <w:color w:val="333333"/>
          <w:sz w:val="20"/>
          <w:szCs w:val="20"/>
        </w:rPr>
        <w:t xml:space="preserve">• FO-SF-062 — FO-SF-62_Declaracion_no_conflicto_interes_SENDERO_FUEL.docx</w:t>
      </w:r>
    </w:p>
    <w:p>
      <w:pPr>
        <w:spacing w:after="60" w:before="60" w:line="276"/>
      </w:pPr>
      <w:r>
        <w:rPr>
          <w:rFonts w:ascii="Calibri" w:cs="Calibri" w:eastAsia="Calibri" w:hAnsi="Calibri"/>
          <w:b w:val="false"/>
          <w:bCs w:val="false"/>
          <w:color w:val="333333"/>
          <w:sz w:val="20"/>
          <w:szCs w:val="20"/>
        </w:rPr>
        <w:t xml:space="preserve">• req_5_PO_SF_003.pdf</w:t>
      </w:r>
    </w:p>
    <w:p>
      <w:pPr>
        <w:spacing w:after="60" w:before="60" w:line="276"/>
      </w:pPr>
      <w:r>
        <w:rPr>
          <w:rFonts w:ascii="Calibri" w:cs="Calibri" w:eastAsia="Calibri" w:hAnsi="Calibri"/>
          <w:b w:val="false"/>
          <w:bCs w:val="false"/>
          <w:color w:val="333333"/>
          <w:sz w:val="20"/>
          <w:szCs w:val="20"/>
        </w:rPr>
        <w:t xml:space="preserve">• EV-SF-121 — Conflicto de Interes 62.zip</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Dirección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·Promover una cultura de integridad y aprobar las medidas de mitigación ante conflictos detectados.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Supervisor/Jefes de área</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·Identificar señales de posibles conflictos en sus equipos y asegurar la segregación de funciones diaria.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Oficial de seguridad</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·Evaluar si un conflicto reportado pone en riesgo la seguridad de la información y proponer controles compensatorios.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Usuario / Colaborador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·Declarar anualmente (o cuando surja) cualquier situación que pueda representar un conflicto de interés.</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lineamientos_de_control" w:id="1"/>
      <w:r>
        <w:t xml:space="preserve"/>
      </w:r>
      <w:bookmarkEnd w:id="1"/>
      <w:r>
        <w:rPr>
          <w:rFonts w:ascii="Calibri" w:cs="Calibri" w:eastAsia="Calibri" w:hAnsi="Calibri"/>
          <w:b/>
          <w:bCs/>
          <w:color w:val="000000"/>
          <w:sz w:val="28"/>
          <w:szCs w:val="28"/>
        </w:rPr>
        <w:t xml:space="preserve">7. LINEAMIENTOS DE CONTROL</w:t>
      </w:r>
    </w:p>
    <w:p>
      <w:r>
        <w:rPr>
          <w:sz w:val="2"/>
          <w:szCs w:val="2"/>
        </w:rPr>
        <w:t xml:space="preserve"/>
      </w:r>
    </w:p>
    <w:p>
      <w:pPr>
        <w:pStyle w:val="Heading2"/>
        <w:spacing w:after="200" w:before="400" w:line="240"/>
        <w:jc w:val="left"/>
      </w:pPr>
      <w:r>
        <w:rPr>
          <w:rFonts w:ascii="Calibri" w:cs="Calibri" w:eastAsia="Calibri" w:hAnsi="Calibri"/>
          <w:b/>
          <w:bCs/>
          <w:color w:val="000000"/>
          <w:sz w:val="20"/>
          <w:szCs w:val="20"/>
        </w:rPr>
        <w:t xml:space="preserve">Identificación y Declaración</w:t>
      </w:r>
    </w:p>
    <w:p>
      <w:pPr>
        <w:pStyle w:val="ListParagraph"/>
        <w:numPr>
          <w:ilvl w:val="0"/>
          <w:numId w:val="1"/>
        </w:numPr>
        <w:spacing w:line="276"/>
        <w:jc w:val="left"/>
      </w:pPr>
      <w:r>
        <w:rPr>
          <w:rFonts w:ascii="Calibri" w:cs="Calibri" w:eastAsia="Calibri" w:hAnsi="Calibri"/>
          <w:b/>
          <w:bCs/>
          <w:color w:val="333333"/>
          <w:sz w:val="20"/>
          <w:szCs w:val="20"/>
        </w:rPr>
        <w:t xml:space="preserve">Declaración Inicial:</w:t>
      </w:r>
      <w:r>
        <w:rPr>
          <w:rFonts w:ascii="Calibri" w:cs="Calibri" w:eastAsia="Calibri" w:hAnsi="Calibri"/>
          <w:b w:val="false"/>
          <w:bCs w:val="false"/>
          <w:color w:val="333333"/>
          <w:sz w:val="20"/>
          <w:szCs w:val="20"/>
        </w:rPr>
        <w:t xml:space="preserve"> Todo nuevo ingreso debe firmar el "Formato de Declaración de No Conflicto de Interés" antes de recibir accesos a los sistemas.</w:t>
      </w:r>
    </w:p>
    <w:p>
      <w:pPr>
        <w:pStyle w:val="ListParagraph"/>
        <w:numPr>
          <w:ilvl w:val="0"/>
          <w:numId w:val="1"/>
        </w:numPr>
        <w:spacing w:line="276"/>
        <w:jc w:val="left"/>
      </w:pPr>
      <w:r>
        <w:rPr>
          <w:rFonts w:ascii="Calibri" w:cs="Calibri" w:eastAsia="Calibri" w:hAnsi="Calibri"/>
          <w:b/>
          <w:bCs/>
          <w:color w:val="333333"/>
          <w:sz w:val="20"/>
          <w:szCs w:val="20"/>
        </w:rPr>
        <w:t xml:space="preserve">Actualización Anual:</w:t>
      </w:r>
      <w:r>
        <w:rPr>
          <w:rFonts w:ascii="Calibri" w:cs="Calibri" w:eastAsia="Calibri" w:hAnsi="Calibri"/>
          <w:b w:val="false"/>
          <w:bCs w:val="false"/>
          <w:color w:val="333333"/>
          <w:sz w:val="20"/>
          <w:szCs w:val="20"/>
        </w:rPr>
        <w:t xml:space="preserve"> El personal clave (TI, Finanzas, Operaciones) renovará esta declaración cada 12 meses.</w:t>
      </w:r>
    </w:p>
    <w:p>
      <w:pPr>
        <w:pStyle w:val="ListParagraph"/>
        <w:numPr>
          <w:ilvl w:val="0"/>
          <w:numId w:val="1"/>
        </w:numPr>
        <w:spacing w:line="276"/>
        <w:jc w:val="left"/>
      </w:pPr>
      <w:r>
        <w:rPr>
          <w:rFonts w:ascii="Calibri" w:cs="Calibri" w:eastAsia="Calibri" w:hAnsi="Calibri"/>
          <w:b/>
          <w:bCs/>
          <w:color w:val="333333"/>
          <w:sz w:val="20"/>
          <w:szCs w:val="20"/>
        </w:rPr>
        <w:t xml:space="preserve">Reporte Voluntario:</w:t>
      </w:r>
      <w:r>
        <w:rPr>
          <w:rFonts w:ascii="Calibri" w:cs="Calibri" w:eastAsia="Calibri" w:hAnsi="Calibri"/>
          <w:b w:val="false"/>
          <w:bCs w:val="false"/>
          <w:color w:val="333333"/>
          <w:sz w:val="20"/>
          <w:szCs w:val="20"/>
        </w:rPr>
        <w:t xml:space="preserve"> El colaborador debe informar inmediatamente a su Supervisor si surge un interés personal (financiero o familiar) con un cliente, proveedor o competidor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Heading2"/>
        <w:spacing w:after="200" w:before="400" w:line="240"/>
        <w:jc w:val="left"/>
      </w:pPr>
      <w:r>
        <w:rPr>
          <w:rFonts w:ascii="Calibri" w:cs="Calibri" w:eastAsia="Calibri" w:hAnsi="Calibri"/>
          <w:b/>
          <w:bCs/>
          <w:color w:val="000000"/>
          <w:sz w:val="20"/>
          <w:szCs w:val="20"/>
        </w:rPr>
        <w:t xml:space="preserve">Segregación de Funciones</w:t>
      </w:r>
    </w:p>
    <w:p>
      <w:pPr>
        <w:spacing w:after="120" w:before="0" w:line="276"/>
        <w:jc w:val="left"/>
      </w:pPr>
      <w:r>
        <w:rPr>
          <w:rFonts w:ascii="Calibri" w:cs="Calibri" w:eastAsia="Calibri" w:hAnsi="Calibri"/>
          <w:b w:val="false"/>
          <w:bCs w:val="false"/>
          <w:color w:val="333333"/>
          <w:sz w:val="20"/>
          <w:szCs w:val="20"/>
        </w:rPr>
        <w:t xml:space="preserve">Para mitigar el riesgo de conflicto, se implementan las siguientes restricciones técnicas:</w:t>
      </w:r>
    </w:p>
    <w:p>
      <w:pPr>
        <w:pStyle w:val="ListParagraph"/>
        <w:numPr>
          <w:ilvl w:val="0"/>
          <w:numId w:val="1"/>
        </w:numPr>
        <w:spacing w:line="276"/>
        <w:jc w:val="left"/>
      </w:pPr>
      <w:r>
        <w:rPr>
          <w:rFonts w:ascii="Calibri" w:cs="Calibri" w:eastAsia="Calibri" w:hAnsi="Calibri"/>
          <w:b/>
          <w:bCs/>
          <w:color w:val="333333"/>
          <w:sz w:val="20"/>
          <w:szCs w:val="20"/>
        </w:rPr>
        <w:t xml:space="preserve">Desarrollo vs. Operación:</w:t>
      </w:r>
      <w:r>
        <w:rPr>
          <w:rFonts w:ascii="Calibri" w:cs="Calibri" w:eastAsia="Calibri" w:hAnsi="Calibri"/>
          <w:b w:val="false"/>
          <w:bCs w:val="false"/>
          <w:color w:val="333333"/>
          <w:sz w:val="20"/>
          <w:szCs w:val="20"/>
        </w:rPr>
        <w:t xml:space="preserve"> El personal que escribe el código del monedero no tiene acceso a las llaves de producción ni a la base de datos real.</w:t>
      </w:r>
    </w:p>
    <w:p>
      <w:pPr>
        <w:pStyle w:val="ListParagraph"/>
        <w:numPr>
          <w:ilvl w:val="0"/>
          <w:numId w:val="1"/>
        </w:numPr>
        <w:spacing w:line="276"/>
        <w:jc w:val="left"/>
      </w:pPr>
      <w:r>
        <w:rPr>
          <w:rFonts w:ascii="Calibri" w:cs="Calibri" w:eastAsia="Calibri" w:hAnsi="Calibri"/>
          <w:b/>
          <w:bCs/>
          <w:color w:val="333333"/>
          <w:sz w:val="20"/>
          <w:szCs w:val="20"/>
        </w:rPr>
        <w:t xml:space="preserve">Autorización vs. Ejecución:</w:t>
      </w:r>
      <w:r>
        <w:rPr>
          <w:rFonts w:ascii="Calibri" w:cs="Calibri" w:eastAsia="Calibri" w:hAnsi="Calibri"/>
          <w:b w:val="false"/>
          <w:bCs w:val="false"/>
          <w:color w:val="333333"/>
          <w:sz w:val="20"/>
          <w:szCs w:val="20"/>
        </w:rPr>
        <w:t xml:space="preserve"> La persona que da de alta un cliente en el sistema no puede ser la misma que autoriza la carga de saldos.</w:t>
      </w:r>
    </w:p>
    <w:p>
      <w:pPr>
        <w:pStyle w:val="ListParagraph"/>
        <w:numPr>
          <w:ilvl w:val="0"/>
          <w:numId w:val="1"/>
        </w:numPr>
        <w:spacing w:line="276"/>
        <w:jc w:val="left"/>
      </w:pPr>
      <w:r>
        <w:rPr>
          <w:rFonts w:ascii="Calibri" w:cs="Calibri" w:eastAsia="Calibri" w:hAnsi="Calibri"/>
          <w:b/>
          <w:bCs/>
          <w:color w:val="333333"/>
          <w:sz w:val="20"/>
          <w:szCs w:val="20"/>
        </w:rPr>
        <w:t xml:space="preserve">Auditoría vs. Implementación:</w:t>
      </w:r>
      <w:r>
        <w:rPr>
          <w:rFonts w:ascii="Calibri" w:cs="Calibri" w:eastAsia="Calibri" w:hAnsi="Calibri"/>
          <w:b w:val="false"/>
          <w:bCs w:val="false"/>
          <w:color w:val="333333"/>
          <w:sz w:val="20"/>
          <w:szCs w:val="20"/>
        </w:rPr>
        <w:t xml:space="preserve"> El Oficial de Seguridad no debe ejecutar configuraciones técnicas, sino supervisarlas.</w:t>
      </w:r>
    </w:p>
    <w:p>
      <w:pPr>
        <w:pStyle w:val="Heading2"/>
        <w:spacing w:after="200" w:before="400" w:line="240"/>
        <w:jc w:val="left"/>
      </w:pPr>
      <w:r>
        <w:rPr>
          <w:rFonts w:ascii="Calibri" w:cs="Calibri" w:eastAsia="Calibri" w:hAnsi="Calibri"/>
          <w:b/>
          <w:bCs/>
          <w:color w:val="000000"/>
          <w:sz w:val="20"/>
          <w:szCs w:val="20"/>
        </w:rPr>
        <w:t xml:space="preserve">Gestión y Mitigación</w:t>
      </w:r>
    </w:p>
    <w:p>
      <w:pPr>
        <w:spacing w:after="120" w:before="0" w:line="276"/>
        <w:jc w:val="left"/>
      </w:pPr>
      <w:r>
        <w:rPr>
          <w:rFonts w:ascii="Calibri" w:cs="Calibri" w:eastAsia="Calibri" w:hAnsi="Calibri"/>
          <w:b w:val="false"/>
          <w:bCs w:val="false"/>
          <w:color w:val="333333"/>
          <w:sz w:val="20"/>
          <w:szCs w:val="20"/>
        </w:rPr>
        <w:t xml:space="preserve">Ante la existencia de un conflicto, el Oficial de Seguridad podrá determinar:</w:t>
      </w:r>
    </w:p>
    <w:p>
      <w:pPr>
        <w:spacing w:line="276"/>
        <w:ind w:left="360" w:hanging="0"/>
        <w:jc w:val="left"/>
      </w:pPr>
      <w:r>
        <w:rPr>
          <w:rFonts w:ascii="Calibri" w:cs="Calibri" w:eastAsia="Calibri" w:hAnsi="Calibri"/>
          <w:sz w:val="20"/>
          <w:szCs w:val="20"/>
        </w:rPr>
        <w:t xml:space="preserve">1.  </w:t>
      </w:r>
      <w:r>
        <w:rPr>
          <w:rFonts w:ascii="Calibri" w:cs="Calibri" w:eastAsia="Calibri" w:hAnsi="Calibri"/>
          <w:b/>
          <w:bCs/>
          <w:color w:val="333333"/>
          <w:sz w:val="20"/>
          <w:szCs w:val="20"/>
        </w:rPr>
        <w:t xml:space="preserve">Recusación:</w:t>
      </w:r>
      <w:r>
        <w:rPr>
          <w:rFonts w:ascii="Calibri" w:cs="Calibri" w:eastAsia="Calibri" w:hAnsi="Calibri"/>
          <w:b w:val="false"/>
          <w:bCs w:val="false"/>
          <w:color w:val="333333"/>
          <w:sz w:val="20"/>
          <w:szCs w:val="20"/>
        </w:rPr>
        <w:t xml:space="preserve"> Retirar al colaborador del proceso o proyecto específico donde existe el conflicto.</w:t>
      </w:r>
    </w:p>
    <w:p>
      <w:pPr>
        <w:spacing w:line="276"/>
        <w:ind w:left="360" w:hanging="0"/>
        <w:jc w:val="left"/>
      </w:pPr>
      <w:r>
        <w:rPr>
          <w:rFonts w:ascii="Calibri" w:cs="Calibri" w:eastAsia="Calibri" w:hAnsi="Calibri"/>
          <w:sz w:val="20"/>
          <w:szCs w:val="20"/>
        </w:rPr>
        <w:t xml:space="preserve">2.  </w:t>
      </w:r>
      <w:r>
        <w:rPr>
          <w:rFonts w:ascii="Calibri" w:cs="Calibri" w:eastAsia="Calibri" w:hAnsi="Calibri"/>
          <w:b/>
          <w:bCs/>
          <w:color w:val="333333"/>
          <w:sz w:val="20"/>
          <w:szCs w:val="20"/>
        </w:rPr>
        <w:t xml:space="preserve">Supervisión Dual:</w:t>
      </w:r>
      <w:r>
        <w:rPr>
          <w:rFonts w:ascii="Calibri" w:cs="Calibri" w:eastAsia="Calibri" w:hAnsi="Calibri"/>
          <w:b w:val="false"/>
          <w:bCs w:val="false"/>
          <w:color w:val="333333"/>
          <w:sz w:val="20"/>
          <w:szCs w:val="20"/>
        </w:rPr>
        <w:t xml:space="preserve"> Si el colaborador es indispensable, sus acciones deben ser validadas por una segunda persona (Principio de "Dos Pares de Ojos").</w:t>
      </w:r>
    </w:p>
    <w:p>
      <w:pPr>
        <w:spacing w:line="276"/>
        <w:ind w:left="360" w:hanging="0"/>
        <w:jc w:val="left"/>
      </w:pPr>
      <w:r>
        <w:rPr>
          <w:rFonts w:ascii="Calibri" w:cs="Calibri" w:eastAsia="Calibri" w:hAnsi="Calibri"/>
          <w:sz w:val="20"/>
          <w:szCs w:val="20"/>
        </w:rPr>
        <w:t xml:space="preserve">3.  </w:t>
      </w:r>
      <w:r>
        <w:rPr>
          <w:rFonts w:ascii="Calibri" w:cs="Calibri" w:eastAsia="Calibri" w:hAnsi="Calibri"/>
          <w:b/>
          <w:bCs/>
          <w:color w:val="333333"/>
          <w:sz w:val="20"/>
          <w:szCs w:val="20"/>
        </w:rPr>
        <w:t xml:space="preserve">Restricción de Acceso:</w:t>
      </w:r>
      <w:r>
        <w:rPr>
          <w:rFonts w:ascii="Calibri" w:cs="Calibri" w:eastAsia="Calibri" w:hAnsi="Calibri"/>
          <w:b w:val="false"/>
          <w:bCs w:val="false"/>
          <w:color w:val="333333"/>
          <w:sz w:val="20"/>
          <w:szCs w:val="20"/>
        </w:rPr>
        <w:t xml:space="preserve"> Limitar temporalmente los privilegios en el sistema hasta que el conflicto desaparezca.</w:t>
      </w:r>
    </w:p>
    <w:p>
      <w:r>
        <w:t xml:space="preserve"> </w:t>
      </w:r>
    </w:p>
    <w:p>
      <w:pPr>
        <w:pStyle w:val="Heading1"/>
        <w:pBdr>
          <w:bottom w:val="single" w:color="D9D9D9" w:sz="4" w:space="8"/>
        </w:pBdr>
        <w:spacing w:after="200" w:before="400" w:line="240"/>
      </w:pPr>
      <w:bookmarkStart w:name="section_7_situaciones_que_deben_declararse" w:id="1"/>
      <w:r>
        <w:t xml:space="preserve"/>
      </w:r>
      <w:bookmarkEnd w:id="1"/>
      <w:r>
        <w:rPr>
          <w:rFonts w:ascii="Calibri" w:cs="Calibri" w:eastAsia="Calibri" w:hAnsi="Calibri"/>
          <w:b/>
          <w:bCs/>
          <w:color w:val="000000"/>
          <w:sz w:val="28"/>
          <w:szCs w:val="28"/>
        </w:rPr>
        <w:t xml:space="preserve">8. SITUACIONES QUE DEBEN DECLARARSE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De manera enunciativa mas no limitativa, deberán declararse las siguientes situaciones: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Relación familiar o de negocios con clientes, proveedores, estaciones de servicio, beneficiarios o personal interno involucrado en decisiones operativas o de control.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Participación económica directa o indirecta en empresas proveedoras, aliadas o competidoras.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Intervención en procesos donde el colaborador pueda obtener un beneficio personal.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Participación simultánea en funciones incompatibles, como desarrollar y aprobar; operar y auditar; solicitar y autorizar; administrar y monitorear sin revisión independiente.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Cualquier otra circunstancia que pueda comprometer la independencia o generar apariencia de parcialidad.</w:t>
      </w:r>
    </w:p>
    <w:p>
      <w:r>
        <w:t xml:space="preserve"> </w:t>
      </w:r>
    </w:p>
    <w:p>
      <w:pPr>
        <w:pStyle w:val="Heading1"/>
        <w:pBdr>
          <w:bottom w:val="single" w:color="D9D9D9" w:sz="4" w:space="8"/>
        </w:pBdr>
        <w:spacing w:after="200" w:before="400" w:line="240"/>
      </w:pPr>
      <w:bookmarkStart w:name="section_8_mecanismos_de_atencion" w:id="1"/>
      <w:r>
        <w:t xml:space="preserve"/>
      </w:r>
      <w:bookmarkEnd w:id="1"/>
      <w:r>
        <w:rPr>
          <w:rFonts w:ascii="Calibri" w:cs="Calibri" w:eastAsia="Calibri" w:hAnsi="Calibri"/>
          <w:b/>
          <w:bCs/>
          <w:color w:val="000000"/>
          <w:sz w:val="28"/>
          <w:szCs w:val="28"/>
        </w:rPr>
        <w:t xml:space="preserve">9. MECANISMOS DE ATENCIÓN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Cuando se identifique un conflicto de interés, SENDERO FUEL podrá aplicar una o varias de las siguientes medidas: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Recusación de la persona involucrada;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Reasignación temporal o definitiva de funciones;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Establecimiento de controles compensatorios;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Supervisión reforzada;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o ajuste de accesos;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Sustitución de responsables en autorizaciones o revisiones;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Terminación de relación contractual, cuando corresponda.</w:t>
      </w:r>
    </w:p>
    <w:p>
      <w:r>
        <w:t xml:space="preserve"> </w:t>
      </w:r>
    </w:p>
    <w:p>
      <w:pPr>
        <w:pStyle w:val="Heading1"/>
        <w:pBdr>
          <w:bottom w:val="single" w:color="D9D9D9" w:sz="4" w:space="8"/>
        </w:pBdr>
        <w:spacing w:after="200" w:before="400" w:line="240"/>
      </w:pPr>
      <w:bookmarkStart w:name="section_9_penalizacion" w:id="1"/>
      <w:r>
        <w:t xml:space="preserve"/>
      </w:r>
      <w:bookmarkEnd w:id="1"/>
      <w:r>
        <w:rPr>
          <w:rFonts w:ascii="Calibri" w:cs="Calibri" w:eastAsia="Calibri" w:hAnsi="Calibri"/>
          <w:b/>
          <w:bCs/>
          <w:color w:val="000000"/>
          <w:sz w:val="28"/>
          <w:szCs w:val="28"/>
        </w:rPr>
        <w:t xml:space="preserve">10. PENALIZACIÓN</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omisión deliberada de un conflicto de interés, o el aprovechamiento del mismo para obtener un beneficio personal afectando la seguridad de la información, será causa de rescisión inmediata del contrato sin responsabilidad para la empresa</w:t>
      </w:r>
    </w:p>
    <w:p>
      <w:r>
        <w:t xml:space="preserve"> </w:t>
      </w:r>
    </w:p>
    <w:p>
      <w:pPr>
        <w:pStyle w:val="Heading1"/>
        <w:pBdr>
          <w:bottom w:val="single" w:color="D9D9D9" w:sz="4" w:space="8"/>
        </w:pBdr>
        <w:spacing w:after="200" w:before="400" w:line="240"/>
      </w:pPr>
      <w:bookmarkStart w:name="section_10_lineamientos_de_segregacion_de_funciones" w:id="1"/>
      <w:r>
        <w:t xml:space="preserve"/>
      </w:r>
      <w:bookmarkEnd w:id="1"/>
      <w:r>
        <w:rPr>
          <w:rFonts w:ascii="Calibri" w:cs="Calibri" w:eastAsia="Calibri" w:hAnsi="Calibri"/>
          <w:b/>
          <w:bCs/>
          <w:color w:val="000000"/>
          <w:sz w:val="28"/>
          <w:szCs w:val="28"/>
        </w:rPr>
        <w:t xml:space="preserve">11. LINEAMIENTOS DE SEGREGACIÓN DE FUNCIONES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evitar conflictos de interés técnicos y operativos,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implementa la separación de las siguientes funciones críticas: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Desarrollo vs. Operación: El personal encargado del desarrollo de software no tendrá facultades para realizar cambios o implementaciones directamente en el ambiente de producción (operativo).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Administración vs. Auditoría: El Oficial de Seguridad (Auditor) tendrá independencia jerárquica y no poseerá privilegios de administración técnica que le permitan modificar registros de actividades (logs) o crear cuentas de usuario privilegiadas.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Alta de Clientes vs. Conciliación: El personal que gestiona el alta de clientes y beneficiarios no podrá intervenir en los procesos de liquidación y compensación de pagos con los enajenantes de combustible o vales.</w:t>
      </w:r>
    </w:p>
    <w:p>
      <w:pPr>
        <w:pStyle w:val="Heading2"/>
        <w:spacing w:after="200" w:before="400" w:line="276"/>
        <w:jc w:val="both"/>
      </w:pPr>
      <w:r>
        <w:rPr>
          <w:rFonts w:ascii="Calibri" w:cs="Calibri" w:eastAsia="Calibri" w:hAnsi="Calibri"/>
          <w:b/>
          <w:bCs/>
          <w:color w:val="333333"/>
          <w:sz w:val="20"/>
          <w:szCs w:val="20"/>
        </w:rPr>
        <w:t xml:space="preserve">Mecanismos de prevención</w:t>
      </w:r>
    </w:p>
    <w:p>
      <w:pPr>
        <w:spacing w:after="120" w:before="0" w:line="276"/>
        <w:jc w:val="both"/>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aplicará los siguientes controles para asegurar la imparcialidad: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Declaración de No Conflicto: Todo colaborador, al ser contratado y posteriormente de forma anual, deberá firmar un documento donde manifieste no tener intereses económicos o familiares con clientes o proveedores críticos de la empresa.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Reclutamiento Ético: El procedimiento de selección de personal incluirá la verificación de antecedentes y desempeño para identificar posibles riesgos de colusión o conflictos de interés en empleos anteriores.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Supervisión Jerárquica: Los directores y jefes de área son responsables de informar al Oficial de Seguridad de manera inmediata si detectan que un subalterno tiene un vínculo personal que pueda comprometer su objetividad.</w:t>
      </w:r>
    </w:p>
    <w:p>
      <w:pPr>
        <w:pStyle w:val="Heading2"/>
        <w:spacing w:after="200" w:before="400" w:line="276"/>
        <w:jc w:val="both"/>
      </w:pPr>
      <w:r>
        <w:rPr>
          <w:rFonts w:ascii="Calibri" w:cs="Calibri" w:eastAsia="Calibri" w:hAnsi="Calibri"/>
          <w:b/>
          <w:bCs/>
          <w:color w:val="333333"/>
          <w:sz w:val="20"/>
          <w:szCs w:val="20"/>
        </w:rPr>
        <w:t xml:space="preserve">Prohibiciones y Sanciones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Dádivas y Beneficios: Queda prohibido solicitar o aceptar dinero, regalos, servicios o viajes de cualquier proveedor, cliente o estación de servicio afiliada.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Uso de Información: Está prohibido el uso de la información de los contribuyentes para fines personales o de negocios ajenos a la actividad autorizada del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w:t>
      </w:r>
    </w:p>
    <w:p>
      <w:r>
        <w:t xml:space="preserve"> </w:t>
      </w:r>
    </w:p>
    <w:p>
      <w:pPr>
        <w:pStyle w:val="Heading1"/>
        <w:pBdr>
          <w:bottom w:val="single" w:color="D9D9D9" w:sz="4" w:space="8"/>
        </w:pBdr>
        <w:spacing w:after="200" w:before="400" w:line="240"/>
      </w:pPr>
      <w:bookmarkStart w:name="section_11_penalizacion_por_incumplimiento" w:id="1"/>
      <w:r>
        <w:t xml:space="preserve"/>
      </w:r>
      <w:bookmarkEnd w:id="1"/>
      <w:r>
        <w:rPr>
          <w:rFonts w:ascii="Calibri" w:cs="Calibri" w:eastAsia="Calibri" w:hAnsi="Calibri"/>
          <w:b/>
          <w:bCs/>
          <w:color w:val="000000"/>
          <w:sz w:val="28"/>
          <w:szCs w:val="28"/>
        </w:rPr>
        <w:t xml:space="preserve">12. PENALIZACIÓN POR INCUMPLIMIENTO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omisión o violación de esta política será sancionada conforme a lo determinado por el comité de seguridad y la normativa laboral vigente.</w:t>
      </w:r>
    </w:p>
    <w:p>
      <w:r>
        <w:t xml:space="preserve"> </w:t>
      </w:r>
    </w:p>
    <w:p>
      <w:pPr>
        <w:pStyle w:val="Heading1"/>
        <w:pBdr>
          <w:bottom w:val="single" w:color="D9D9D9" w:sz="4" w:space="8"/>
        </w:pBdr>
        <w:spacing w:after="200" w:before="400" w:line="240"/>
      </w:pPr>
      <w:bookmarkStart w:name="section_12_periodicidad_de_revision" w:id="1"/>
      <w:r>
        <w:t xml:space="preserve"/>
      </w:r>
      <w:bookmarkEnd w:id="1"/>
      <w:r>
        <w:rPr>
          <w:rFonts w:ascii="Calibri" w:cs="Calibri" w:eastAsia="Calibri" w:hAnsi="Calibri"/>
          <w:b/>
          <w:bCs/>
          <w:color w:val="000000"/>
          <w:sz w:val="28"/>
          <w:szCs w:val="28"/>
        </w:rPr>
        <w:t xml:space="preserve">13.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3_glosario" w:id="1"/>
      <w:r>
        <w:rPr>
          <w:rFonts w:ascii="Calibri" w:cs="Calibri" w:eastAsia="Calibri" w:hAnsi="Calibri"/>
          <w:b/>
          <w:bCs/>
          <w:color w:val="000000"/>
          <w:sz w:val="28"/>
          <w:szCs w:val="28"/>
        </w:rPr>
        <w:t xml:space="preserve">14.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para evitar el conflicto de intereses y segregación de funciones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PO-SF-003</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para evitar el conflicto de intereses y segregación de funciones</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6/4/2026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para evitar el conflicto de intereses y segregacin de funciones</dc:title>
  <dc:subject>Poltica</dc:subject>
  <dc:creator>Administrador MAPLINKS</dc:creator>
  <cp:keywords>PO-SF-003</cp:keywords>
  <dc:description>Documento PO-SF-003</dc:description>
  <cp:lastModifiedBy>Administrador MAPLINKS</cp:lastModifiedBy>
  <cp:revision>1</cp:revision>
  <dcterms:created xsi:type="dcterms:W3CDTF">2026-09-30T21:33:03.627Z</dcterms:created>
  <dcterms:modified xsi:type="dcterms:W3CDTF">2026-09-30T21:33:03.627Z</dcterms:modified>
</cp:coreProperties>
</file>

<file path=docProps/custom.xml><?xml version="1.0" encoding="utf-8"?>
<Properties xmlns="http://schemas.openxmlformats.org/officeDocument/2006/custom-properties" xmlns:vt="http://schemas.openxmlformats.org/officeDocument/2006/docPropsVTypes"/>
</file>