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tbl>
      <w:tblPr>
        <w:tblW w:type="dxa" w:w="10240"/>
        <w:tblInd w:type="dxa" w:w="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5120"/>
        <w:gridCol w:w="5120"/>
      </w:tblGrid>
      <w:tr>
        <w:trPr>
          <w:cantSplit w:val="false"/>
        </w:trPr>
        <w:tc>
          <w:tcPr>
            <w:tcW w:type="dxa" w:w="5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12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Revisado por:</w:t>
            </w:r>
          </w:p>
        </w:tc>
        <w:tc>
          <w:tcPr>
            <w:tcW w:type="dxa" w:w="5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12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Autorizado por:</w:t>
            </w:r>
          </w:p>
        </w:tc>
      </w:tr>
      <w:tr>
        <w:trPr>
          <w:cantSplit w:val="false"/>
        </w:trPr>
        <w:tc>
          <w:tcPr>
            <w:tcW w:type="dxa" w:w="5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  <w:tc>
          <w:tcPr>
            <w:tcW w:type="dxa" w:w="5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5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12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COORDINADOR MMTO.</w:t>
            </w:r>
          </w:p>
          <w:p>
            <w:pPr>
              <w:spacing w:after="120" w:before="0" w:line="276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Raúl Ernesto Galindo</w:t>
            </w:r>
          </w:p>
        </w:tc>
        <w:tc>
          <w:tcPr>
            <w:tcW w:type="dxa" w:w="5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12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GERENTE ENERGO</w:t>
            </w:r>
          </w:p>
          <w:p>
            <w:pPr>
              <w:spacing w:after="120" w:before="0" w:line="276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Romina Monserrat
Barbosa Apodaca</w:t>
            </w:r>
          </w:p>
        </w:tc>
      </w:tr>
      <w:tr>
        <w:trPr>
          <w:cantSplit w:val="false"/>
        </w:trPr>
        <w:tc>
          <w:tcPr>
            <w:tcW w:type="dxa" w:w="5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12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Revisado por:</w:t>
            </w:r>
          </w:p>
        </w:tc>
        <w:tc>
          <w:tcPr>
            <w:tcW w:type="dxa" w:w="5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12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Autorizado por:</w:t>
            </w:r>
          </w:p>
        </w:tc>
      </w:tr>
      <w:tr>
        <w:trPr>
          <w:cantSplit w:val="false"/>
        </w:trPr>
        <w:tc>
          <w:tcPr>
            <w:tcW w:type="dxa" w:w="5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  <w:tc>
          <w:tcPr>
            <w:tcW w:type="dxa" w:w="5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5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12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COORDINADOR ATENCIÓN A CLIENTES</w:t>
            </w:r>
          </w:p>
          <w:p>
            <w:pPr>
              <w:spacing w:after="120" w:before="0" w:line="276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Ramón Gabriel Salazar
Rocha</w:t>
            </w:r>
          </w:p>
        </w:tc>
        <w:tc>
          <w:tcPr>
            <w:tcW w:type="dxa" w:w="5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vAlign w:val="center"/>
          </w:tcPr>
          <w:p>
            <w:pPr>
              <w:spacing w:after="12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ANALISTA ADMINISTRATIVO</w:t>
            </w:r>
          </w:p>
          <w:p>
            <w:pPr>
              <w:spacing w:after="120" w:before="0" w:line="276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Axel Martínez Rentería</w:t>
            </w:r>
          </w:p>
        </w:tc>
      </w:tr>
    </w:tbl>
    <w:p>
      <w:r>
        <w:br w:type="page"/>
      </w:r>
    </w:p>
    <w:p>
      <w:pPr>
        <w:spacing w:after="200" w:before="400" w:line="240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Control de cambios</w:t>
      </w:r>
    </w:p>
    <w:p>
      <w:r>
        <w:t xml:space="preserve"/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2048"/>
        <w:gridCol w:w="1536"/>
        <w:gridCol w:w="3584"/>
        <w:gridCol w:w="2048"/>
        <w:gridCol w:w="1024"/>
      </w:tblGrid>
      <w:tr>
        <w:trPr>
          <w:cantSplit w:val="false"/>
        </w:trPr>
        <w:tc>
          <w:tcPr>
            <w:tcW w:type="dxa" w:w="2048"/>
            <w:shd w:fill="2B5797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Capítulo/Apartado</w:t>
            </w:r>
          </w:p>
        </w:tc>
        <w:tc>
          <w:tcPr>
            <w:tcW w:type="dxa" w:w="1536"/>
            <w:shd w:fill="2B5797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Fecha</w:t>
            </w:r>
          </w:p>
        </w:tc>
        <w:tc>
          <w:tcPr>
            <w:tcW w:type="dxa" w:w="3584"/>
            <w:shd w:fill="2B5797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Descripción del Cambio</w:t>
            </w:r>
          </w:p>
        </w:tc>
        <w:tc>
          <w:tcPr>
            <w:tcW w:type="dxa" w:w="2048"/>
            <w:shd w:fill="2B5797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Editor</w:t>
            </w:r>
          </w:p>
        </w:tc>
        <w:tc>
          <w:tcPr>
            <w:tcW w:type="dxa" w:w="1024"/>
            <w:shd w:fill="2B5797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Versión</w:t>
            </w:r>
          </w:p>
        </w:tc>
      </w:tr>
      <w:tr>
        <w:trPr>
          <w:cantSplit w:val="false"/>
        </w:trPr>
        <w:tc>
          <w:tcPr>
            <w:tcW w:type="dxa" w:w="2048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Edición General</w:t>
            </w:r>
          </w:p>
        </w:tc>
        <w:tc>
          <w:tcPr>
            <w:tcW w:type="dxa" w:w="1536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28/5/2026</w:t>
            </w:r>
          </w:p>
        </w:tc>
        <w:tc>
          <w:tcPr>
            <w:tcW w:type="dxa" w:w="3584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Creación del documento</w:t>
            </w:r>
          </w:p>
        </w:tc>
        <w:tc>
          <w:tcPr>
            <w:tcW w:type="dxa" w:w="2048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Sistema</w:t>
            </w:r>
          </w:p>
        </w:tc>
        <w:tc>
          <w:tcPr>
            <w:tcW w:type="dxa" w:w="1024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1</w:t>
            </w:r>
          </w:p>
        </w:tc>
      </w:tr>
      <w:tr>
        <w:trPr>
          <w:cantSplit w:val="false"/>
        </w:trPr>
        <w:tc>
          <w:tcPr>
            <w:tcW w:type="dxa" w:w="2048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Creación</w:t>
            </w:r>
          </w:p>
        </w:tc>
        <w:tc>
          <w:tcPr>
            <w:tcW w:type="dxa" w:w="1536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28/5/2026</w:t>
            </w:r>
          </w:p>
        </w:tc>
        <w:tc>
          <w:tcPr>
            <w:tcW w:type="dxa" w:w="3584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Creación del documento</w:t>
            </w:r>
          </w:p>
        </w:tc>
        <w:tc>
          <w:tcPr>
            <w:tcW w:type="dxa" w:w="2048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MARÍA MALDONADO</w:t>
            </w:r>
          </w:p>
        </w:tc>
        <w:tc>
          <w:tcPr>
            <w:tcW w:type="dxa" w:w="1024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1</w:t>
            </w:r>
          </w:p>
        </w:tc>
      </w:tr>
    </w:tbl>
    <w:p>
      <w:r>
        <w:br w:type="page"/>
      </w:r>
    </w:p>
    <w:p>
      <w:pPr>
        <w:pBdr>
          <w:bottom w:val="single" w:color="D9D9D9" w:sz="4" w:space="8"/>
        </w:pBdr>
        <w:spacing w:after="200" w:before="400" w:line="240"/>
      </w:pPr>
      <w:r>
        <w:rPr>
          <w:rFonts w:ascii="Calibri" w:cs="Calibri" w:eastAsia="Calibri" w:hAnsi="Calibri"/>
          <w:b/>
          <w:bCs/>
          <w:color w:val="000000"/>
          <w:sz w:val="28"/>
          <w:szCs w:val="28"/>
        </w:rPr>
        <w:t xml:space="preserve">Contenido</w:t>
      </w:r>
    </w:p>
    <w:p>
      <w:r>
        <w:t xml:space="preserve"> </w:t>
      </w:r>
    </w:p>
    <w:sdt>
      <w:sdtPr/>
      <w:sdtContent>
        <w:p>
          <w:r>
            <w:fldChar w:fldCharType="begin" w:dirty="true"/>
            <w:instrText xml:space="preserve">TOC \h \o "1-3"</w:instrText>
            <w:fldChar w:fldCharType="separate"/>
          </w:r>
        </w:p>
        <w:p>
          <w:r>
            <w:fldChar w:fldCharType="end"/>
          </w:r>
        </w:p>
      </w:sdtContent>
    </w:sdt>
    <w:p>
      <w:r>
        <w:t xml:space="preserve"> </w:t>
      </w:r>
    </w:p>
    <w:p>
      <w:pPr>
        <w:sectPr>
          <w:headerReference w:type="default" r:id="rId7"/>
          <w:footerReference w:type="default" r:id="rId8"/>
          <w:pgSz w:w="11906" w:h="16838" w:orient="portrait"/>
          <w:pgMar w:top="1000" w:right="1000" w:bottom="1000" w:left="1000" w:header="708" w:footer="708" w:gutter="0"/>
          <w:pgNumType/>
          <w:docGrid w:linePitch="360"/>
        </w:sectPr>
      </w:pPr>
    </w:p>
    <w:p>
      <w:pPr>
        <w:pStyle w:val="Heading1"/>
        <w:pBdr>
          <w:bottom w:val="single" w:color="D9D9D9" w:sz="4" w:space="8"/>
        </w:pBdr>
        <w:spacing w:after="200" w:before="400" w:line="240"/>
      </w:pPr>
      <w:bookmarkStart w:name="section_0_organigrama_institucional_" w:id="1"/>
      <w:r>
        <w:t xml:space="preserve"/>
      </w:r>
      <w:bookmarkEnd w:id="1"/>
      <w:r>
        <w:rPr>
          <w:rFonts w:ascii="Calibri" w:cs="Calibri" w:eastAsia="Calibri" w:hAnsi="Calibri"/>
          <w:b/>
          <w:bCs/>
          <w:color w:val="000000"/>
          <w:sz w:val="28"/>
          <w:szCs w:val="28"/>
        </w:rPr>
        <w:t xml:space="preserve">1. ORGANIGRAMA INSTITUCIONAL </w:t>
      </w:r>
    </w:p>
    <w:p>
      <w:r>
        <w:rPr>
          <w:sz w:val="2"/>
          <w:szCs w:val="2"/>
        </w:rPr>
        <w:t xml:space="preserve"/>
      </w:r>
    </w:p>
    <w:p>
      <w:pPr>
        <w:spacing w:after="120" w:before="0" w:line="276"/>
        <w:jc w:val="left"/>
      </w:pPr>
      <w:r>
        <w:rPr>
          <w:rFonts w:ascii="Calibri" w:cs="Calibri" w:eastAsia="Calibri" w:hAnsi="Calibri"/>
          <w:b w:val="false"/>
          <w:bCs w:val="false"/>
          <w:color w:val="333333"/>
          <w:sz w:val="20"/>
          <w:szCs w:val="20"/>
        </w:rPr>
        <w:t xml:space="preserve">El organigrama siguiente identifica la estructura de autoridad, líneas de reporte, áreas usuarias y proveedores relacionados con las actividades del monedero electrónico de combustibles de </w:t>
      </w:r>
      <w:r>
        <w:rPr>
          <w:rFonts w:ascii="Calibri" w:cs="Calibri" w:eastAsia="Calibri" w:hAnsi="Calibri"/>
          <w:b/>
          <w:bCs/>
          <w:color w:val="333333"/>
          <w:sz w:val="20"/>
          <w:szCs w:val="20"/>
        </w:rPr>
        <w:t xml:space="preserve">SENDERO FUEL</w:t>
      </w:r>
      <w:r>
        <w:rPr>
          <w:rFonts w:ascii="Calibri" w:cs="Calibri" w:eastAsia="Calibri" w:hAnsi="Calibri"/>
          <w:b w:val="false"/>
          <w:bCs w:val="false"/>
          <w:color w:val="333333"/>
          <w:sz w:val="20"/>
          <w:szCs w:val="20"/>
        </w:rPr>
        <w:t xml:space="preserve">.</w:t>
      </w:r>
    </w:p>
    <w:p>
      <w:r>
        <w:t xml:space="preserve"> </w:t>
      </w:r>
    </w:p>
    <w:p>
      <w:pPr>
        <w:pStyle w:val="Heading1"/>
        <w:pBdr>
          <w:bottom w:val="single" w:color="D9D9D9" w:sz="4" w:space="8"/>
        </w:pBdr>
        <w:spacing w:after="200" w:before="400" w:line="240"/>
      </w:pPr>
      <w:bookmarkStart w:name="section_1_formatos_relacionados" w:id="1"/>
      <w:r>
        <w:t xml:space="preserve"/>
      </w:r>
      <w:bookmarkEnd w:id="1"/>
      <w:r>
        <w:rPr>
          <w:rFonts w:ascii="Calibri" w:cs="Calibri" w:eastAsia="Calibri" w:hAnsi="Calibri"/>
          <w:b/>
          <w:bCs/>
          <w:color w:val="000000"/>
          <w:sz w:val="28"/>
          <w:szCs w:val="28"/>
        </w:rPr>
        <w:t xml:space="preserve">2. FORMATOS RELACIONADOS</w:t>
      </w:r>
    </w:p>
    <w:p>
      <w:r>
        <w:rPr>
          <w:sz w:val="2"/>
          <w:szCs w:val="2"/>
        </w:rPr>
        <w:t xml:space="preserve"/>
      </w:r>
    </w:p>
    <w:p>
      <w:pPr>
        <w:spacing w:after="60" w:before="60" w:line="276"/>
      </w:pPr>
      <w:r>
        <w:rPr>
          <w:rFonts w:ascii="Calibri" w:cs="Calibri" w:eastAsia="Calibri" w:hAnsi="Calibri"/>
          <w:b w:val="false"/>
          <w:bCs w:val="false"/>
          <w:color w:val="333333"/>
          <w:sz w:val="20"/>
          <w:szCs w:val="20"/>
        </w:rPr>
        <w:t xml:space="preserve">• EV-SF-014 — PERFILES_DE_PUESTOS_FIRMADOS_Y_ESCANEADO.zip</w:t>
      </w:r>
    </w:p>
    <w:p>
      <w:pPr>
        <w:spacing w:after="60" w:before="60" w:line="276"/>
      </w:pPr>
      <w:r>
        <w:rPr>
          <w:rFonts w:ascii="Calibri" w:cs="Calibri" w:eastAsia="Calibri" w:hAnsi="Calibri"/>
          <w:b w:val="false"/>
          <w:bCs w:val="false"/>
          <w:color w:val="333333"/>
          <w:sz w:val="20"/>
          <w:szCs w:val="20"/>
        </w:rPr>
        <w:t xml:space="preserve">• req_4_DOC_SF_018.pdf</w:t>
      </w:r>
    </w:p>
    <w:p>
      <w:r>
        <w:t xml:space="preserve"> </w:t>
      </w:r>
    </w:p>
    <w:p>
      <w:pPr>
        <w:pStyle w:val="Heading1"/>
        <w:pBdr>
          <w:bottom w:val="single" w:color="D9D9D9" w:sz="4" w:space="8"/>
        </w:pBdr>
        <w:spacing w:after="200" w:before="400" w:line="240"/>
      </w:pPr>
      <w:bookmarkStart w:name="section_2_perfiles_de_puesto_" w:id="1"/>
      <w:r>
        <w:t xml:space="preserve"/>
      </w:r>
      <w:bookmarkEnd w:id="1"/>
      <w:r>
        <w:rPr>
          <w:rFonts w:ascii="Calibri" w:cs="Calibri" w:eastAsia="Calibri" w:hAnsi="Calibri"/>
          <w:b/>
          <w:bCs/>
          <w:color w:val="000000"/>
          <w:sz w:val="28"/>
          <w:szCs w:val="28"/>
        </w:rPr>
        <w:t xml:space="preserve">3. PERFILES DE PUESTO </w:t>
      </w:r>
    </w:p>
    <w:p>
      <w:r>
        <w:rPr>
          <w:sz w:val="2"/>
          <w:szCs w:val="2"/>
        </w:rPr>
        <w:t xml:space="preserve"/>
      </w:r>
    </w:p>
    <w:p>
      <w:pPr>
        <w:pStyle w:val="Heading2"/>
        <w:spacing w:after="200" w:before="400" w:line="240"/>
        <w:jc w:val="left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Perfil 1. Analista Admvo. Mtto. Cartera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20"/>
        <w:gridCol w:w="5120"/>
      </w:tblGrid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Analista Administrativo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Área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Mantenimiento de cartera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Jefe inmediato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Raúl Ernesto Galindo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Nivel jerárquico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2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Tipo de 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Administrativo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Objetivo del 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Gestionar el alta y administración de clientes en sistema, asegurando la integridad de la información y documentación. Brindando soporte administrativo y seguimiento a requerimientos de la cartera empresarial.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Funciones principales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10240"/>
      </w:tblGrid>
      <w:tr>
        <w:trPr>
          <w:cantSplit w:val="false"/>
        </w:trPr>
        <w:tc>
          <w:tcPr>
            <w:tcW w:type="dxa" w:w="1024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Funciones y responsabilidades del puesto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1. Recabar la documentación necesaria para la integración del expediente, en conjunto con el ejecutivo de venta.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2. Retornar del área de Cuentas por Cobrar los expedientes no autorizados, a razón que el cliente no haya sido calificado como apto, se recogerá los expedientes del área de cuentas por cobrar para su resguardo o destrucción del mismo.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3. Analizar y validar la documentación de clientes (de acuerdo con el check list de producto o servicio a contratar, revisar los documentos autorizados por la autoridad y por política interna para detectar documentos alterados, y/o falsificados).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4. Soporte, atención y servicio al cliente interno y externo, dar asesoría y apoyo en la integración de expedientes, y a su vez orientar sobre el funcionamiento de los servicios y productos que ofrecemos. Para garantizar el apego a políticas y requisitos internos y ante la autoridad.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5. Seguimiento y atención a solicitudes por parte de los clientes empresariales, soporte y apoyo a los Ejecutivos de Mtto. de Cartera en diversas actividades que el área requiera.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Matriz de requisitos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2560"/>
        <w:gridCol w:w="2560"/>
        <w:gridCol w:w="2560"/>
        <w:gridCol w:w="2560"/>
      </w:tblGrid>
      <w:tr>
        <w:trPr>
          <w:cantSplit w:val="false"/>
        </w:trPr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Criterio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Requerido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Mínimo aceptable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Evidencia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Lic. Administración de Empresas o afín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Inglés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Deseado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Bajo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Puesto similar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1 año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Manejo de Excel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Básico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Accesos y nivel de riesgo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20"/>
        <w:gridCol w:w="5120"/>
      </w:tblGrid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Control</w:t>
            </w:r>
          </w:p>
        </w:tc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Condición documentada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a información de contribuyentes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Sí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a sistemas críticos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No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privilegiado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No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Controles compensatorios requeridos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2"/>
        <w:spacing w:after="200" w:before="400" w:line="240"/>
        <w:jc w:val="left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Perfil 2. Analista afiliadas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20"/>
        <w:gridCol w:w="5120"/>
      </w:tblGrid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Analista Afiliadas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Área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Mantenimiento de cartera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Jefe inmediato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Raúl Ernesto Galindo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Nivel jerárquico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2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Tipo de 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Administrativo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Objetivo del 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Otorgar soporte y soluciones a estaciones de la red de afiliadas y monedero, así como organizar e integrar el expediente para las estaciones nuevas a afiliar además de monitorear y analizar los consumos de la red de afiliadas.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Funciones principales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10240"/>
      </w:tblGrid>
      <w:tr>
        <w:trPr>
          <w:cantSplit w:val="false"/>
        </w:trPr>
        <w:tc>
          <w:tcPr>
            <w:tcW w:type="dxa" w:w="1024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Funciones y responsabilidades del puesto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1. Monitorear la acreditación de los consumos de estaciones afiliadas.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2. Autorización y captura de cargas manuales de afiliadas.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3. Capacitación Operativa a la red de Afiliadas sobre uso del portal del monedero y en el MDM.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4. Monitoreo, soporte y solución de incidencia en estaciones Afiliadas.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5. Integración del expediente para las nuevas estaciones afiladas, así como recabar los documentos.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Matriz de requisitos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2560"/>
        <w:gridCol w:w="2560"/>
        <w:gridCol w:w="2560"/>
        <w:gridCol w:w="2560"/>
      </w:tblGrid>
      <w:tr>
        <w:trPr>
          <w:cantSplit w:val="false"/>
        </w:trPr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Criterio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Requerido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Mínimo aceptable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Evidencia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Lic. Administración de Empresas o afín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Inglés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Deseado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Bajo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Puesto similar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1 año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Manejo de Excel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Básico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Accesos y nivel de riesgo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20"/>
        <w:gridCol w:w="5120"/>
      </w:tblGrid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Control</w:t>
            </w:r>
          </w:p>
        </w:tc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Condición documentada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a información de contribuyentes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Sí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a sistemas críticos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No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privilegiado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No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Controles compensatorios requeridos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2"/>
        <w:spacing w:after="200" w:before="400" w:line="240"/>
        <w:jc w:val="left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Perfil 3. Analista Atención a Clientes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20"/>
        <w:gridCol w:w="5120"/>
      </w:tblGrid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Analista Atención a Clientes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Área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Atención a Clientes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Jefe inmediato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Ramón Gabriel Salazar Rocha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Nivel jerárquico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2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Tipo de 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Administrativo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Objetivo del 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Brindar atención eficiente y oportuna a clientes, ofreciendo soluciones y orientación a través de diversos canales además de gestionar inconformidades para asegurar la retención y satisfacción del cliente con apego a procesos establecidos.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Funciones principales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10240"/>
      </w:tblGrid>
      <w:tr>
        <w:trPr>
          <w:cantSplit w:val="false"/>
        </w:trPr>
        <w:tc>
          <w:tcPr>
            <w:tcW w:type="dxa" w:w="1024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Funciones y responsabilidades del puesto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1. Brindar atención a nuestros clientes internos y externos a través de los diferentes canales de contacto (Teléfono, correo electrónico, redes sociales, WhatsApp, página web)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2. Uso de estrategias para la retención de clientes que presenten reportes e inconformidades en su servicio, buscando su satisfacción.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3. Solicitud de dispositivos (Físicos o virtuales), según las necesidades de cada cliente, dando seguimiento hasta su entrega.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4. Atención, seguimiento y autorización de cargas manuales.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5. Investigación de casos especiales, seguimiento para la aclaración de alguna situación de inconformidad de nuestros clientes.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6. Validación de transferencias realizadas por nuestros clientes foráneos y autorización de carga a Estación de Servicios.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7. Facilitar y gestionar las solicitudes de nuestros clientes a través de la comunicación intradepartamental.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Matriz de requisitos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2560"/>
        <w:gridCol w:w="2560"/>
        <w:gridCol w:w="2560"/>
        <w:gridCol w:w="2560"/>
      </w:tblGrid>
      <w:tr>
        <w:trPr>
          <w:cantSplit w:val="false"/>
        </w:trPr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Criterio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Requerido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Mínimo aceptable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Evidencia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Lic. Psicología, Comunicación, Relaciones Públicas.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Inglés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Deseado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Medio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Puesto similar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1 año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Estrategias de retención de clientes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Manejo de clientes difíciles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Accesos y nivel de riesgo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20"/>
        <w:gridCol w:w="5120"/>
      </w:tblGrid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Control</w:t>
            </w:r>
          </w:p>
        </w:tc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Condición documentada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a información de contribuyentes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Sí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a sistemas críticos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No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privilegiado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No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Controles compensatorios requeridos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2"/>
        <w:spacing w:after="200" w:before="400" w:line="240"/>
        <w:jc w:val="left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Perfil 4. Analista de Crédito y Cobranza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20"/>
        <w:gridCol w:w="5120"/>
      </w:tblGrid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Analista de Crédito y Cobranza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Área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Crédito y Cobranza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Jefe inmediato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Francisco Ricardo López Dimas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Nivel jerárquico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2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Tipo de 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Administrativo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Objetivo del 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Gestionar el crédito y la cobranza mediante el control, análisis y seguimiento de ingresos, facturación y cartera.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Funciones principales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10240"/>
      </w:tblGrid>
      <w:tr>
        <w:trPr>
          <w:cantSplit w:val="false"/>
        </w:trPr>
        <w:tc>
          <w:tcPr>
            <w:tcW w:type="dxa" w:w="1024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Funciones y responsabilidades del puesto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1. Validación del ingreso nivel nacional.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2. Validación de la venta empresarial, OC, Vales y Externos.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3. Supervisión de venta de Castores e ingreso de vales a su portal.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4. Emisión de facturas Tipo Orden de compra.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5. Dirigir modificaciones al departamento de Ingresos.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6. Gestionar y cobro en vales externos.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Matriz de requisitos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2560"/>
        <w:gridCol w:w="2560"/>
        <w:gridCol w:w="2560"/>
        <w:gridCol w:w="2560"/>
      </w:tblGrid>
      <w:tr>
        <w:trPr>
          <w:cantSplit w:val="false"/>
        </w:trPr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Criterio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Requerido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Mínimo aceptable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Evidencia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Lic. Contabilidad, administración o afín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Inglés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Deseado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Bajo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Puesto similar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2 años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Servicio al cliente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Paquetería Microsoft Office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Habilidad de comunicación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Accesos y nivel de riesgo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20"/>
        <w:gridCol w:w="5120"/>
      </w:tblGrid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Control</w:t>
            </w:r>
          </w:p>
        </w:tc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Condición documentada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a información de contribuyentes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Sí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a sistemas críticos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No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privilegiado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No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Controles compensatorios requeridos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2"/>
        <w:spacing w:after="200" w:before="400" w:line="240"/>
        <w:jc w:val="left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Perfil 5. Coord. Atención a Clientes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20"/>
        <w:gridCol w:w="5120"/>
      </w:tblGrid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Coordinador Atención a Clientes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Área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Atención a Clientes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Jefe inmediato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Romina Monserrat Barbosa Apodaca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Nivel jerárquico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3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Tipo de 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Administrativo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Objetivo del 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Coordinar la atención integral a clientes y prospectos, garantizando un servicio oportuno y de calidad. Supervisando al equipo y asegurando el cumplimiento de procesos, políticas y herramientas de gestión.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Funciones principales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10240"/>
      </w:tblGrid>
      <w:tr>
        <w:trPr>
          <w:cantSplit w:val="false"/>
        </w:trPr>
        <w:tc>
          <w:tcPr>
            <w:tcW w:type="dxa" w:w="1024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Funciones y responsabilidades del puesto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1. Análisis de áreas de oportunidad en procesos del área.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2. Seguimiento a porcentaje de efectivad de respuesta de llamadas.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3. Investigación de casos de consumos no identificados por los clientes.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4. Seguimiento a proceso de pago de daños a unidades vehiculares generados en Estaciones de Servicios y enviar orden de compra.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5. Brindar atención a nuestros clientes internos y externos en temas especializados a través de los diferentes canales de contacto (Teléfono y WhatsApp).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6. Construcción y seguimiento de casos de inconformidad de clientes premium, 3A y especiales.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7. Facilitar y gestionar las solicitudes de nuestros clientes a través de la comunicación intradepartamental.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Matriz de requisitos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2560"/>
        <w:gridCol w:w="2560"/>
        <w:gridCol w:w="2560"/>
        <w:gridCol w:w="2560"/>
      </w:tblGrid>
      <w:tr>
        <w:trPr>
          <w:cantSplit w:val="false"/>
        </w:trPr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Criterio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Requerido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Mínimo aceptable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Evidencia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Lic. En relaciones públicas, comunicación, administración, psicología o afín.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Inglés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Deseado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Medio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Puesto similar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3 años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Administración de Call Center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Manejo de clientes difíciles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Accesos y nivel de riesgo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20"/>
        <w:gridCol w:w="5120"/>
      </w:tblGrid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Control</w:t>
            </w:r>
          </w:p>
        </w:tc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Condición documentada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a información de contribuyentes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Sí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a sistemas críticos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No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privilegiado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No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Controles compensatorios requeridos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2"/>
        <w:spacing w:after="200" w:before="400" w:line="240"/>
        <w:jc w:val="left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Perfil 6. Coord. Crédito y Cobranza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20"/>
        <w:gridCol w:w="5120"/>
      </w:tblGrid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Coordinador Crédito y Cobranza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Área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Crédito y Cobranza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Jefe inmediato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Romina Monserrat Barbosa Apodaca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Nivel jerárquico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3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Tipo de 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Administrativo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Objetivo del 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Dar seguimiento oportuno a la ejecución de las estrategias y acciones en el manejo de la cartera de clientes externos e internos, así como a la recuperación de esta de acuerdo con el proceso de gestión por etapas.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Funciones principales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10240"/>
      </w:tblGrid>
      <w:tr>
        <w:trPr>
          <w:cantSplit w:val="false"/>
        </w:trPr>
        <w:tc>
          <w:tcPr>
            <w:tcW w:type="dxa" w:w="1024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Funciones y responsabilidades del puesto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1. Supervisar cartera de clientes a nivel nacional.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2. Seguimiento a los convenios y programaciones de pagos de clientes en mora.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3. Supervisar que se cumpla con el proceso del departamento, facturación, rembolso, cobranza e ingreso.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4. Atender peticiones o dudas de clientes externos e internos.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5. Emisión de facturas especiales al sector gobierno y seguimiento a sus cuentas.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Matriz de requisitos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2560"/>
        <w:gridCol w:w="2560"/>
        <w:gridCol w:w="2560"/>
        <w:gridCol w:w="2560"/>
      </w:tblGrid>
      <w:tr>
        <w:trPr>
          <w:cantSplit w:val="false"/>
        </w:trPr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Criterio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Requerido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Mínimo aceptable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Evidencia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Lic. Contabilidad, administración o afín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Inglés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Deseado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Medio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Puesto similar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4 años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Capacidad de Negociaciones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Cobranza Efectiva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Accesos y nivel de riesgo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20"/>
        <w:gridCol w:w="5120"/>
      </w:tblGrid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Control</w:t>
            </w:r>
          </w:p>
        </w:tc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Condición documentada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a información de contribuyentes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Sí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a sistemas críticos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No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privilegiado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No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Controles compensatorios requeridos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2"/>
        <w:spacing w:after="200" w:before="400" w:line="240"/>
        <w:jc w:val="left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Perfil 7. Coord. Mmto. de Cartera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20"/>
        <w:gridCol w:w="5120"/>
      </w:tblGrid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Coordinador Mantenimiento de Cartera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Área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Mantenimiento de cartera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Jefe inmediato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Romina Monserrat Barbosa Apodaca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Nivel jerárquico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3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Tipo de 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Administrativo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Objetivo del 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Diseñar y coordinar estrategias para el mantenimiento y crecimiento de la cartera de clientes empresariales. Asegurando negociaciones y soluciones efectivas que impulsen la retención, satisfacción y rentabilidad.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Funciones principales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10240"/>
      </w:tblGrid>
      <w:tr>
        <w:trPr>
          <w:cantSplit w:val="false"/>
        </w:trPr>
        <w:tc>
          <w:tcPr>
            <w:tcW w:type="dxa" w:w="1024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Funciones y responsabilidades del puesto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1. Garantizar el consumo de clientes empresariales a través del diseño e implementación de estrategias comerciales.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2. Asegurar el cumplimiento de acuerdos y negociaciones comerciales con los clientes empresariales.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3. Cumplimiento con el plan de seguimiento a clientes y asegurar la atención personalizada a clientes Premium y 3A.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4. Generación y revisión de presupuestos de consumos de los clientes de cartera y gastos del departamento al cargo.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Matriz de requisitos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2560"/>
        <w:gridCol w:w="2560"/>
        <w:gridCol w:w="2560"/>
        <w:gridCol w:w="2560"/>
      </w:tblGrid>
      <w:tr>
        <w:trPr>
          <w:cantSplit w:val="false"/>
        </w:trPr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Criterio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Requerido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Mínimo aceptable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Evidencia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Lic. Mercadotecnia, Administración, Ing. Industrial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Inglés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Deseado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Medio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Puesto similar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3 años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Ventas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Conocimiento de las reglas y normas de las estaciones de servicio de combustible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Accesos y nivel de riesgo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20"/>
        <w:gridCol w:w="5120"/>
      </w:tblGrid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Control</w:t>
            </w:r>
          </w:p>
        </w:tc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Condición documentada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a información de contribuyentes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Sí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a sistemas críticos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No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privilegiado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No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Controles compensatorios requeridos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2"/>
        <w:spacing w:after="200" w:before="400" w:line="240"/>
        <w:jc w:val="left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Perfil 8. Ejecutivo de Ventas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20"/>
        <w:gridCol w:w="5120"/>
      </w:tblGrid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Ejecutivo de Ventas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Área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Ventas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Jefe inmediato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Iván Cruz Ponce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Nivel jerárquico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2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Tipo de 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Administrativo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Objetivo del 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Prospectar, desarrollar y cerrar oportunidades de negocio con clientes potenciales, mediante la promoción y comercialización de soluciones de administración de combustible, asegurando una gestión integral del proceso de venta.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Funciones principales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10240"/>
      </w:tblGrid>
      <w:tr>
        <w:trPr>
          <w:cantSplit w:val="false"/>
        </w:trPr>
        <w:tc>
          <w:tcPr>
            <w:tcW w:type="dxa" w:w="1024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Funciones y responsabilidades del puesto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1. Prospección en mercados potenciales.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2. Negociación de venta buscando las mejores condiciones para la empresa.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3. Garantizar las líneas de crédito, evitando poner en riesgo a la empresa.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4. Potencializar los consumos del cliente al total de su línea de crédito.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5. Mantener las líneas de crédito durante los meses que el cliente se encuentre en su posesión.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6. Garantizar la correcta integración de expedientes, registro de información y seguimiento postventa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Matriz de requisitos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2560"/>
        <w:gridCol w:w="2560"/>
        <w:gridCol w:w="2560"/>
        <w:gridCol w:w="2560"/>
      </w:tblGrid>
      <w:tr>
        <w:trPr>
          <w:cantSplit w:val="false"/>
        </w:trPr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Criterio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Requerido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Mínimo aceptable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Evidencia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Lic. Mercadotecnia, comunicación, administración o afín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Inglés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Deseado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Bajo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Puesto similar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1 a 3 años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Estrategias de Ventas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Habilidad de negociación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Comunicación efectiva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Accesos y nivel de riesgo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20"/>
        <w:gridCol w:w="5120"/>
      </w:tblGrid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Control</w:t>
            </w:r>
          </w:p>
        </w:tc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Condición documentada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a información de contribuyentes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Sí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a sistemas críticos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No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privilegiado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No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Controles compensatorios requeridos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2"/>
        <w:spacing w:after="200" w:before="400" w:line="240"/>
        <w:jc w:val="left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Perfil 9. Ejecutivo Mmto. de Cartera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20"/>
        <w:gridCol w:w="5120"/>
      </w:tblGrid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Ejecutivo Mantenimiento de Cartera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Área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Mantenimiento de cartera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Jefe inmediato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Raúl Ernesto Galindo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Nivel jerárquico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2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Tipo de 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Administrativo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Objetivo del 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Gestionar y fortalecer la relación con clientes empresariales mediante el monitoreo continuo de su consumo y comportamiento de cargas.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Funciones principales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10240"/>
      </w:tblGrid>
      <w:tr>
        <w:trPr>
          <w:cantSplit w:val="false"/>
        </w:trPr>
        <w:tc>
          <w:tcPr>
            <w:tcW w:type="dxa" w:w="1024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Funciones y responsabilidades del puesto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1. Monitoreo Cartera (revisión de comportamiento de consumos)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2. Llamadas y visitas de seguimiento para mantener el contacto todos nuestros clientes y conocer sus necesidades.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3. Negociación de incrementos de líneas de crédito, plazo, descuentos, cuentas adicionales, etc.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4. Diseñar e implementar con la coordinación de MDC las estrategias, para recuperar los consumos de los clientes sin cargar, según la información obtenida de los mismos.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5. Generación y revisión de presupuestos de consumos de los clientes del monedero.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6. Generación y ejecución de estrategias para proyectos especiales.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Matriz de requisitos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2560"/>
        <w:gridCol w:w="2560"/>
        <w:gridCol w:w="2560"/>
        <w:gridCol w:w="2560"/>
      </w:tblGrid>
      <w:tr>
        <w:trPr>
          <w:cantSplit w:val="false"/>
        </w:trPr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Criterio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Requerido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Mínimo aceptable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Evidencia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Lic. Mercadotecnia, Administración, Ing. Industrial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Inglés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Deseado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Medio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Puesto similar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2 años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Ventas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Conocimiento de las reglas y normas de las estaciones de servicio de combustible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Deseado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Accesos y nivel de riesgo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20"/>
        <w:gridCol w:w="5120"/>
      </w:tblGrid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Control</w:t>
            </w:r>
          </w:p>
        </w:tc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Condición documentada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a información de contribuyentes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Sí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a sistemas críticos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No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privilegiado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No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Controles compensatorios requeridos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2"/>
        <w:spacing w:after="200" w:before="400" w:line="240"/>
        <w:jc w:val="left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Perfil 10. Gerente ENERGO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20"/>
        <w:gridCol w:w="5120"/>
      </w:tblGrid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Gerente Energo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Área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Ventas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Jefe inmediato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Director General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Nivel jerárquico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4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Tipo de 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Administrativo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Objetivo del 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Dirigir y ejecutar estrategias comerciales que aseguren el cumplimiento de ingresos, crecimiento de la cartera y rentabilidad del negocio, mediante la captación de nuevos clientes, recuperación de cuentas y desarrollo de venta cruzada.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Funciones principales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10240"/>
      </w:tblGrid>
      <w:tr>
        <w:trPr>
          <w:cantSplit w:val="false"/>
        </w:trPr>
        <w:tc>
          <w:tcPr>
            <w:tcW w:type="dxa" w:w="1024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Funciones y responsabilidades del puesto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1. Crear mecanismos de innovación y diseño de estrategias para captar clientes.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2. Desarrollar la base de clientes para aumentar la venta cruzada.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3. Definir los objetivos de recuperación de clientes perdidos.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4. Apoyar con nuevos prospectos para la proveeduría de combustible.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5. Garantizar la retención de clientes mediante un alto nivel de satisfacción en el servicio.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6. Realizar estrategias que incrementen el margen de utilidad en la venta a clientes.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7. Diseño y aplicación de estrategias de venta a terceros (Estaciones bandera blanca).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Matriz de requisitos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2560"/>
        <w:gridCol w:w="2560"/>
        <w:gridCol w:w="2560"/>
        <w:gridCol w:w="2560"/>
      </w:tblGrid>
      <w:tr>
        <w:trPr>
          <w:cantSplit w:val="false"/>
        </w:trPr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Criterio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Requerido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Mínimo aceptable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Evidencia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Lic. Administración de Negocios (Perfil Comercial)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Inglés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Deseado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Medio-Intermedio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Puesto similar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3 años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Manejo de objeciones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Enfoque a resultados y mejora de rentabilidad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Liderazgo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Accesos y nivel de riesgo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20"/>
        <w:gridCol w:w="5120"/>
      </w:tblGrid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Control</w:t>
            </w:r>
          </w:p>
        </w:tc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Condición documentada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a información de contribuyentes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Sí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a sistemas críticos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No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privilegiado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No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Controles compensatorios requeridos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2"/>
        <w:spacing w:after="200" w:before="400" w:line="240"/>
        <w:jc w:val="left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Perfil 11. Gerente Jr. Ventas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20"/>
        <w:gridCol w:w="5120"/>
      </w:tblGrid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Gerente Jr. Ventas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Área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Ventas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Jefe inmediato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Romina Monserrat Barbosa Apodaca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Nivel jerárquico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4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Tipo de 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Administrativo</w:t>
            </w:r>
          </w:p>
        </w:tc>
      </w:tr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Objetivo del puesto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Diseñar e implementar estrategias para el crecimiento de ventas y afiliación de nuevas estaciones. Desarrollando al equipo y optimizar procesos para maximizar resultados y rentabilidad.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Funciones principales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10240"/>
      </w:tblGrid>
      <w:tr>
        <w:trPr>
          <w:cantSplit w:val="false"/>
        </w:trPr>
        <w:tc>
          <w:tcPr>
            <w:tcW w:type="dxa" w:w="1024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Funciones y responsabilidades del puesto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1. Capacitación y entrenamiento a fuerza de ventas para desarrollarlos como equipos de alto rendimiento.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2. Acompañamiento y supervisión en campo de prospectación y cierres de venta.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3. Revisión de integración de expedientes de clientes nuevos.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4. Monitoreo y seguimiento de desempeño diario, semanal y mensual.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5. Generación de relaciones industriales y corporativas del alto volumen.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6. Presentación y evaluación de resultados semanales/ mensuales de metas, objetivos y pronósticos de ventas.</w:t>
            </w:r>
          </w:p>
        </w:tc>
      </w:tr>
      <w:tr>
        <w:trPr>
          <w:cantSplit w:val="false"/>
        </w:trPr>
        <w:tc>
          <w:tcPr>
            <w:tcW w:type="dxa" w:w="1024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7. Planificar presupuesto anual para el departamento de ventas.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Matriz de requisitos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2560"/>
        <w:gridCol w:w="2560"/>
        <w:gridCol w:w="2560"/>
        <w:gridCol w:w="2560"/>
      </w:tblGrid>
      <w:tr>
        <w:trPr>
          <w:cantSplit w:val="false"/>
        </w:trPr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Criterio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Requerido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Mínimo aceptable</w:t>
            </w:r>
          </w:p>
        </w:tc>
        <w:tc>
          <w:tcPr>
            <w:tcW w:type="dxa" w:w="256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Evidencia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Lic. Administración de Negocios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Inglés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Deseado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Medio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Puesto similar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3 años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Habilidades de negociación y manejo de conflictos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Método de ventas corporativas e industriales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  <w:tr>
        <w:trPr>
          <w:cantSplit w:val="false"/>
        </w:trPr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Presentación de negocios y comunicación asertiva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Indispensable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dxa" w:w="256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</w:tbl>
    <w:p>
      <w:r>
        <w:rPr>
          <w:sz w:val="2"/>
          <w:szCs w:val="2"/>
        </w:rPr>
        <w:t xml:space="preserve"/>
      </w:r>
    </w:p>
    <w:p>
      <w:pPr>
        <w:pStyle w:val="Heading3"/>
        <w:spacing w:after="200" w:before="400" w:line="240"/>
        <w:jc w:val="left"/>
      </w:pPr>
      <w:r>
        <w:rPr>
          <w:rFonts w:ascii="Calibri" w:cs="Calibri" w:eastAsia="Calibri" w:hAnsi="Calibri"/>
          <w:b w:val="false"/>
          <w:bCs w:val="false"/>
          <w:color w:val="000000"/>
          <w:sz w:val="20"/>
          <w:szCs w:val="20"/>
        </w:rPr>
        <w:t xml:space="preserve">Accesos y nivel de riesgo</w:t>
      </w:r>
    </w:p>
    <w:tbl>
      <w:tblPr>
        <w:tblW w:type="dxa" w:w="10240"/>
        <w:tblInd w:type="dxa" w:w="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20"/>
        <w:gridCol w:w="5120"/>
      </w:tblGrid>
      <w:tr>
        <w:trPr>
          <w:cantSplit w:val="false"/>
        </w:trPr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Control</w:t>
            </w:r>
          </w:p>
        </w:tc>
        <w:tc>
          <w:tcPr>
            <w:tcW w:type="dxa" w:w="5120"/>
            <w:shd w:fill="d9e6f5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8"/>
                <w:szCs w:val="18"/>
              </w:rPr>
              <w:t xml:space="preserve">Condición documentada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a información de contribuyentes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Sí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a sistemas críticos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No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Acceso privilegiado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No</w:t>
            </w:r>
          </w:p>
        </w:tc>
      </w:tr>
      <w:tr>
        <w:trPr>
          <w:cantSplit w:val="false"/>
        </w:trPr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Controles compensatorios requeridos</w:t>
            </w:r>
          </w:p>
        </w:tc>
        <w:tc>
          <w:tcPr>
            <w:tcW w:type="dxa" w:w="5120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left"/>
            </w:pPr>
            <w:r>
              <w:t xml:space="preserve"> </w:t>
            </w:r>
          </w:p>
        </w:tc>
      </w:tr>
    </w:tbl>
    <w:p>
      <w:r>
        <w:rPr>
          <w:sz w:val="2"/>
          <w:szCs w:val="2"/>
        </w:rPr>
        <w:t xml:space="preserve"/>
      </w:r>
    </w:p>
    <w:p>
      <w:r>
        <w:t xml:space="preserve"> </w:t>
      </w:r>
    </w:p>
    <w:p>
      <w:pPr>
        <w:pStyle w:val="Heading1"/>
        <w:pBdr>
          <w:bottom w:val="single" w:color="D9D9D9" w:sz="4" w:space="8"/>
        </w:pBdr>
        <w:spacing w:after="200" w:before="400" w:line="240"/>
      </w:pPr>
      <w:bookmarkStart w:name="section_3_periodicidad_de_revision" w:id="1"/>
      <w:r>
        <w:t xml:space="preserve"/>
      </w:r>
      <w:bookmarkEnd w:id="1"/>
      <w:r>
        <w:rPr>
          <w:rFonts w:ascii="Calibri" w:cs="Calibri" w:eastAsia="Calibri" w:hAnsi="Calibri"/>
          <w:b/>
          <w:bCs/>
          <w:color w:val="000000"/>
          <w:sz w:val="28"/>
          <w:szCs w:val="28"/>
        </w:rPr>
        <w:t xml:space="preserve">4. PERIODICIDAD DE REVISIÓN</w:t>
      </w:r>
    </w:p>
    <w:p>
      <w:r>
        <w:rPr>
          <w:sz w:val="2"/>
          <w:szCs w:val="2"/>
        </w:rPr>
        <w:t xml:space="preserve"/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/>
          <w:bCs/>
          <w:color w:val="333333"/>
          <w:sz w:val="20"/>
          <w:szCs w:val="20"/>
        </w:rPr>
        <w:t xml:space="preserve">Revisión Ordinaria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 w:val="false"/>
          <w:bCs w:val="false"/>
          <w:color w:val="333333"/>
          <w:sz w:val="20"/>
          <w:szCs w:val="20"/>
        </w:rPr>
        <w:t xml:space="preserve">Este documento deberá ser revisado de manera integral cada 6 meses, contados a partir de su última fecha de autorización, para asegurar su alineación con los objetivos estratégicos de </w:t>
      </w:r>
      <w:r>
        <w:rPr>
          <w:rFonts w:ascii="Calibri" w:cs="Calibri" w:eastAsia="Calibri" w:hAnsi="Calibri"/>
          <w:b/>
          <w:bCs/>
          <w:color w:val="333333"/>
          <w:sz w:val="20"/>
          <w:szCs w:val="20"/>
        </w:rPr>
        <w:t xml:space="preserve">SENDERO FUEL </w:t>
      </w:r>
      <w:r>
        <w:rPr>
          <w:rFonts w:ascii="Calibri" w:cs="Calibri" w:eastAsia="Calibri" w:hAnsi="Calibri"/>
          <w:b w:val="false"/>
          <w:bCs w:val="false"/>
          <w:color w:val="333333"/>
          <w:sz w:val="20"/>
          <w:szCs w:val="20"/>
        </w:rPr>
        <w:t xml:space="preserve">y los requisitos del Anexo 10 de la RMF vigente.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/>
          <w:bCs/>
          <w:color w:val="333333"/>
          <w:sz w:val="20"/>
          <w:szCs w:val="20"/>
        </w:rPr>
        <w:t xml:space="preserve">Revisión Extraordinaria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 w:val="false"/>
          <w:bCs w:val="false"/>
          <w:color w:val="333333"/>
          <w:sz w:val="20"/>
          <w:szCs w:val="20"/>
        </w:rPr>
        <w:t xml:space="preserve">Se realizarán revisiones y actualizaciones inmediatas a este documento cuando se presente cualquiera de los siguientes supuestos: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 w:val="false"/>
          <w:bCs w:val="false"/>
          <w:color w:val="333333"/>
          <w:sz w:val="20"/>
          <w:szCs w:val="20"/>
        </w:rPr>
        <w:t xml:space="preserve">Cambios Legislativos: Modificaciones en la Ley del ISR, el Código Fiscal de la Federación o la Resolución Miscelánea Fiscal que afecten la operación de monederos electrónicos.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 w:val="false"/>
          <w:bCs w:val="false"/>
          <w:color w:val="333333"/>
          <w:sz w:val="20"/>
          <w:szCs w:val="20"/>
        </w:rPr>
        <w:t xml:space="preserve">Incidentes de Seguridad: Tras la ocurrencia de un incidente crítico que involucre a un proveedor y que revele deficiencias en los controles actuales.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 w:val="false"/>
          <w:bCs w:val="false"/>
          <w:color w:val="333333"/>
          <w:sz w:val="20"/>
          <w:szCs w:val="20"/>
        </w:rPr>
        <w:t xml:space="preserve">Cambios Tecnológicos: Implementación de nuevas tecnologías en el monedero electrónico o cambios significativos en la infraestructura de Tecnologías de la Información (TIC) de la empresa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 w:val="false"/>
          <w:bCs w:val="false"/>
          <w:color w:val="333333"/>
          <w:sz w:val="20"/>
          <w:szCs w:val="20"/>
        </w:rPr>
        <w:t xml:space="preserve">Resultados de Auditoría: Hallazgos derivados de verificaciones independientes o inspecciones de la autoridad que exijan robustecer los controles con terceros.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/>
          <w:bCs/>
          <w:color w:val="333333"/>
          <w:sz w:val="20"/>
          <w:szCs w:val="20"/>
        </w:rPr>
        <w:t xml:space="preserve">Responsable de la Revisión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 w:val="false"/>
          <w:bCs w:val="false"/>
          <w:color w:val="333333"/>
          <w:sz w:val="20"/>
          <w:szCs w:val="20"/>
        </w:rPr>
        <w:t xml:space="preserve">La Dirección de </w:t>
      </w:r>
      <w:r>
        <w:rPr>
          <w:rFonts w:ascii="Calibri" w:cs="Calibri" w:eastAsia="Calibri" w:hAnsi="Calibri"/>
          <w:b/>
          <w:bCs/>
          <w:color w:val="333333"/>
          <w:sz w:val="20"/>
          <w:szCs w:val="20"/>
        </w:rPr>
        <w:t xml:space="preserve">SENDERO FUEL</w:t>
      </w:r>
      <w:r>
        <w:rPr>
          <w:rFonts w:ascii="Calibri" w:cs="Calibri" w:eastAsia="Calibri" w:hAnsi="Calibri"/>
          <w:b w:val="false"/>
          <w:bCs w:val="false"/>
          <w:color w:val="333333"/>
          <w:sz w:val="20"/>
          <w:szCs w:val="20"/>
        </w:rPr>
        <w:t xml:space="preserve">, en conjunto con el responsable de seguridad de la información, serán los encargados de validar las actualizaciones, asegurar su comunicación formal al personal y gestionar el control de versiones correspondiente.</w:t>
      </w:r>
    </w:p>
    <w:p>
      <w:r>
        <w:t xml:space="preserve"> </w:t>
      </w:r>
    </w:p>
    <w:sectPr>
      <w:headerReference w:type="default" r:id="rId9"/>
      <w:footerReference w:type="default" r:id="rId10"/>
      <w:type w:val="nextPage"/>
      <w:pgSz w:w="11906" w:h="16838" w:orient="portrait"/>
      <w:pgMar w:top="1000" w:right="1000" w:bottom="1000" w:left="1000" w:header="708" w:footer="708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 </w:t>
    </w:r>
  </w:p>
  <w:tbl>
    <w:tblPr>
      <w:tblW w:type="dxa" w:w="10240"/>
      <w:tblInd w:type="dxa" w:w="0"/>
      <w:tblBorders>
        <w:top w:val="single" w:color="000000" w:sz="4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120"/>
      <w:gridCol w:w="5120"/>
    </w:tblGrid>
    <w:tr>
      <w:trPr>
        <w:cantSplit w:val="false"/>
      </w:trPr>
      <w:tc>
        <w:tcPr>
          <w:tcW w:type="dxa" w:w="5120"/>
          <w:tcBorders>
            <w:top w:val="none"/>
            <w:left w:val="none"/>
            <w:bottom w:val="none"/>
            <w:right w:val="none"/>
          </w:tcBorders>
        </w:tcPr>
        <w:p>
          <w:r>
            <w:t xml:space="preserve"> </w:t>
          </w:r>
        </w:p>
      </w:tc>
      <w:tc>
        <w:tcPr>
          <w:tcW w:type="dxa" w:w="5120"/>
          <w:tcBorders>
            <w:top w:val="none"/>
            <w:left w:val="none"/>
            <w:bottom w:val="none"/>
            <w:right w:val="none"/>
          </w:tcBorders>
        </w:tcPr>
        <w:p>
          <w:pPr>
            <w:jc w:val="right"/>
          </w:pPr>
          <w:r>
            <w:t xml:space="preserve"> </w:t>
          </w:r>
        </w:p>
      </w:tc>
    </w:tr>
    <w:tr>
      <w:trPr>
        <w:cantSplit w:val="false"/>
      </w:trPr>
      <w:tc>
        <w:tcPr>
          <w:tcW w:type="dxa" w:w="10240"/>
          <w:gridSpan w:val="2"/>
          <w:tcBorders>
            <w:top w:val="none"/>
            <w:left w:val="none"/>
            <w:bottom w:val="none"/>
            <w:right w:val="none"/>
          </w:tcBorders>
        </w:tcPr>
        <w:p>
          <w:pPr>
            <w:jc w:val="left"/>
          </w:pPr>
          <w:r>
            <w:rPr>
              <w:rFonts w:ascii="Calibri" w:cs="Calibri" w:eastAsia="Calibri" w:hAnsi="Calibri"/>
              <w:b w:val="false"/>
              <w:bCs w:val="false"/>
              <w:color w:val="666666"/>
              <w:sz w:val="12"/>
              <w:szCs w:val="12"/>
            </w:rPr>
            <w:t xml:space="preserve">El contenido de este documento pertenece enteramente a SENDERO FUEL S.A DE C.V.  y es de carácter estrictamente confidencial. Este material deberá permanecer en todo momento en el ambiente interno de SENDERO FUEL S.A DE C.V.</w:t>
          </w:r>
        </w:p>
        <w:p>
          <w:pPr>
            <w:jc w:val="left"/>
          </w:pPr>
          <w:r>
            <w:rPr>
              <w:rFonts w:ascii="Calibri" w:cs="Calibri" w:eastAsia="Calibri" w:hAnsi="Calibri"/>
              <w:b w:val="false"/>
              <w:bCs w:val="false"/>
              <w:color w:val="666666"/>
              <w:sz w:val="12"/>
              <w:szCs w:val="12"/>
            </w:rPr>
            <w:t xml:space="preserve"/>
          </w:r>
        </w:p>
        <w:p>
          <w:pPr>
            <w:jc w:val="left"/>
          </w:pPr>
          <w:r>
            <w:rPr>
              <w:rFonts w:ascii="Calibri" w:cs="Calibri" w:eastAsia="Calibri" w:hAnsi="Calibri"/>
              <w:b w:val="false"/>
              <w:bCs w:val="false"/>
              <w:color w:val="666666"/>
              <w:sz w:val="12"/>
              <w:szCs w:val="12"/>
            </w:rPr>
            <w:t xml:space="preserve">SENDERO FUEL S.A DE C.V. podrá ejercer acción legal en contra de el o los individuos que hagan uso indebido de la información contenida en este documento, o que hayan facilitado dicho uso indebido</w:t>
          </w:r>
        </w:p>
        <w:p>
          <w:pPr>
            <w:jc w:val="left"/>
          </w:pPr>
          <w:r>
            <w:rPr>
              <w:rFonts w:ascii="Calibri" w:cs="Calibri" w:eastAsia="Calibri" w:hAnsi="Calibri"/>
              <w:b w:val="false"/>
              <w:bCs w:val="false"/>
              <w:color w:val="666666"/>
              <w:sz w:val="12"/>
              <w:szCs w:val="12"/>
            </w:rPr>
            <w:t xml:space="preserve"/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 </w:t>
    </w:r>
  </w:p>
  <w:tbl>
    <w:tblPr>
      <w:tblW w:type="dxa" w:w="10240"/>
      <w:tblInd w:type="dxa" w:w="0"/>
      <w:tblBorders>
        <w:top w:val="single" w:color="000000" w:sz="4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120"/>
      <w:gridCol w:w="5120"/>
    </w:tblGrid>
    <w:tr>
      <w:trPr>
        <w:cantSplit w:val="false"/>
      </w:trPr>
      <w:tc>
        <w:tcPr>
          <w:tcW w:type="dxa" w:w="5120"/>
          <w:tcBorders>
            <w:top w:val="none"/>
            <w:left w:val="none"/>
            <w:bottom w:val="none"/>
            <w:right w:val="none"/>
          </w:tcBorders>
        </w:tcPr>
        <w:p>
          <w:r>
            <w:t xml:space="preserve"> </w:t>
          </w:r>
        </w:p>
      </w:tc>
      <w:tc>
        <w:tcPr>
          <w:tcW w:type="dxa" w:w="5120"/>
          <w:tcBorders>
            <w:top w:val="none"/>
            <w:left w:val="none"/>
            <w:bottom w:val="none"/>
            <w:right w:val="none"/>
          </w:tcBorders>
        </w:tcPr>
        <w:p>
          <w:pPr>
            <w:jc w:val="right"/>
          </w:pPr>
          <w:r>
            <w:rPr>
              <w:rFonts w:ascii="Calibri" w:cs="Calibri" w:eastAsia="Calibri" w:hAnsi="Calibri"/>
              <w:color w:val="666666"/>
              <w:sz w:val="12"/>
              <w:szCs w:val="12"/>
            </w:rPr>
            <w:fldChar w:fldCharType="begin"/>
            <w:instrText xml:space="preserve">PAGE</w:instrText>
            <w:fldChar w:fldCharType="separate"/>
            <w:fldChar w:fldCharType="end"/>
            <w:t xml:space="preserve"> de </w:t>
            <w:fldChar w:fldCharType="begin"/>
            <w:instrText xml:space="preserve">SECTIONPAGES</w:instrText>
            <w:fldChar w:fldCharType="separate"/>
            <w:fldChar w:fldCharType="end"/>
            <w:t xml:space="preserve"> hojas</w:t>
          </w:r>
        </w:p>
      </w:tc>
    </w:tr>
    <w:tr>
      <w:trPr>
        <w:cantSplit w:val="false"/>
      </w:trPr>
      <w:tc>
        <w:tcPr>
          <w:tcW w:type="dxa" w:w="10240"/>
          <w:gridSpan w:val="2"/>
          <w:tcBorders>
            <w:top w:val="none"/>
            <w:left w:val="none"/>
            <w:bottom w:val="none"/>
            <w:right w:val="none"/>
          </w:tcBorders>
        </w:tcPr>
        <w:p>
          <w:pPr>
            <w:jc w:val="left"/>
          </w:pPr>
          <w:r>
            <w:rPr>
              <w:rFonts w:ascii="Calibri" w:cs="Calibri" w:eastAsia="Calibri" w:hAnsi="Calibri"/>
              <w:b w:val="false"/>
              <w:bCs w:val="false"/>
              <w:color w:val="666666"/>
              <w:sz w:val="12"/>
              <w:szCs w:val="12"/>
            </w:rPr>
            <w:t xml:space="preserve">El contenido de este documento pertenece enteramente a SENDERO FUEL S.A DE C.V.  y es de carácter estrictamente confidencial. Este material deberá permanecer en todo momento en el ambiente interno de SENDERO FUEL S.A DE C.V.</w:t>
          </w:r>
        </w:p>
        <w:p>
          <w:pPr>
            <w:jc w:val="left"/>
          </w:pPr>
          <w:r>
            <w:rPr>
              <w:rFonts w:ascii="Calibri" w:cs="Calibri" w:eastAsia="Calibri" w:hAnsi="Calibri"/>
              <w:b w:val="false"/>
              <w:bCs w:val="false"/>
              <w:color w:val="666666"/>
              <w:sz w:val="12"/>
              <w:szCs w:val="12"/>
            </w:rPr>
            <w:t xml:space="preserve"/>
          </w:r>
        </w:p>
        <w:p>
          <w:pPr>
            <w:jc w:val="left"/>
          </w:pPr>
          <w:r>
            <w:rPr>
              <w:rFonts w:ascii="Calibri" w:cs="Calibri" w:eastAsia="Calibri" w:hAnsi="Calibri"/>
              <w:b w:val="false"/>
              <w:bCs w:val="false"/>
              <w:color w:val="666666"/>
              <w:sz w:val="12"/>
              <w:szCs w:val="12"/>
            </w:rPr>
            <w:t xml:space="preserve">SENDERO FUEL S.A DE C.V. podrá ejercer acción legal en contra de el o los individuos que hagan uso indebido de la información contenida en este documento, o que hayan facilitado dicho uso indebido</w:t>
          </w:r>
        </w:p>
        <w:p>
          <w:pPr>
            <w:jc w:val="left"/>
          </w:pPr>
          <w:r>
            <w:rPr>
              <w:rFonts w:ascii="Calibri" w:cs="Calibri" w:eastAsia="Calibri" w:hAnsi="Calibri"/>
              <w:b w:val="false"/>
              <w:bCs w:val="false"/>
              <w:color w:val="666666"/>
              <w:sz w:val="12"/>
              <w:szCs w:val="12"/>
            </w:rPr>
            <w:t xml:space="preserve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240"/>
      <w:tblInd w:type="dxa" w:w="0"/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  <w:tblLayout w:type="fixed"/>
    </w:tblPr>
    <w:tblGrid>
      <w:gridCol w:w="2048"/>
      <w:gridCol w:w="2048"/>
      <w:gridCol w:w="2048"/>
      <w:gridCol w:w="2048"/>
      <w:gridCol w:w="2048"/>
    </w:tblGrid>
    <w:tr>
      <w:trPr>
        <w:cantSplit w:val="false"/>
      </w:trPr>
      <w:tc>
        <w:tcPr>
          <w:tcW w:type="dxa" w:w="2048"/>
          <w:vAlign w:val="center"/>
        </w:tcPr>
        <w:p>
          <w:pPr>
            <w:spacing w:after="120" w:before="0" w:line="276"/>
            <w:jc w:val="center"/>
          </w:pPr>
          <w:r>
            <w:rPr>
              <w:rFonts w:ascii="Calibri" w:cs="Calibri" w:eastAsia="Calibri" w:hAnsi="Calibri"/>
              <w:b w:val="false"/>
              <w:bCs w:val="false"/>
              <w:color w:val="000000"/>
              <w:sz w:val="20"/>
              <w:szCs w:val="20"/>
            </w:rPr>
            <w:t xml:space="preserve">DOC-SF-018</w:t>
          </w:r>
        </w:p>
      </w:tc>
      <w:tc>
        <w:tcPr>
          <w:tcW w:type="dxa" w:w="6144"/>
          <w:gridSpan w:val="3"/>
          <w:vAlign w:val="center"/>
        </w:tcPr>
        <w:p>
          <w:pPr>
            <w:spacing w:after="120" w:before="0" w:line="276"/>
            <w:jc w:val="center"/>
          </w:pPr>
          <w:r>
            <w:rPr>
              <w:rFonts w:ascii="Calibri" w:cs="Calibri" w:eastAsia="Calibri" w:hAnsi="Calibri"/>
              <w:b/>
              <w:bCs/>
              <w:color w:val="000000"/>
              <w:sz w:val="20"/>
              <w:szCs w:val="20"/>
            </w:rPr>
            <w:t xml:space="preserve">Perfiles de puesto</w:t>
          </w:r>
        </w:p>
      </w:tc>
      <w:tc>
        <w:tcPr>
          <w:tcW w:type="dxa" w:w="2048"/>
          <w:vMerge w:val="restart"/>
          <w:vAlign w:val="center"/>
        </w:tcPr>
        <w:p>
          <w:pPr>
            <w:jc w:val="center"/>
          </w:pPr>
          <w:r>
            <w:drawing>
              <wp:inline distT="0" distB="0" distL="0" distR="0">
                <wp:extent cx="1143000" cy="571500"/>
                <wp:effectExtent t="0" r="0" b="0" l="0"/>
                <wp:docPr id="1" name="logo" descr="Logo Corporativo" title="Logo Corpora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571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>
      <w:trPr>
        <w:cantSplit w:val="false"/>
      </w:trPr>
      <w:tc>
        <w:tcPr>
          <w:tcW w:type="dxa" w:w="2048"/>
          <w:vAlign w:val="center"/>
        </w:tcPr>
        <w:p>
          <w:pPr>
            <w:spacing w:after="120" w:before="0" w:line="276"/>
            <w:jc w:val="center"/>
          </w:pPr>
          <w:r>
            <w:rPr>
              <w:rFonts w:ascii="Calibri" w:cs="Calibri" w:eastAsia="Calibri" w:hAnsi="Calibri"/>
              <w:b w:val="false"/>
              <w:bCs w:val="false"/>
              <w:color w:val="000000"/>
              <w:sz w:val="20"/>
              <w:szCs w:val="20"/>
            </w:rPr>
            <w:t xml:space="preserve">Emisión: 28/5/2026</w:t>
          </w:r>
        </w:p>
      </w:tc>
      <w:tc>
        <w:tcPr>
          <w:tcW w:type="dxa" w:w="2048"/>
          <w:vAlign w:val="center"/>
        </w:tcPr>
        <w:p>
          <w:pPr>
            <w:spacing w:after="120" w:before="0" w:line="276"/>
            <w:jc w:val="center"/>
          </w:pPr>
          <w:r>
            <w:rPr>
              <w:rFonts w:ascii="Calibri" w:cs="Calibri" w:eastAsia="Calibri" w:hAnsi="Calibri"/>
              <w:b w:val="false"/>
              <w:bCs w:val="false"/>
              <w:color w:val="000000"/>
              <w:sz w:val="20"/>
              <w:szCs w:val="20"/>
            </w:rPr>
            <w:t xml:space="preserve">Revisión: 24/8/2026</w:t>
          </w:r>
        </w:p>
      </w:tc>
      <w:tc>
        <w:tcPr>
          <w:tcW w:type="dxa" w:w="2048"/>
          <w:vAlign w:val="center"/>
        </w:tcPr>
        <w:p>
          <w:pPr>
            <w:spacing w:after="120" w:before="0" w:line="276"/>
            <w:jc w:val="center"/>
          </w:pPr>
          <w:r>
            <w:rPr>
              <w:rFonts w:ascii="Calibri" w:cs="Calibri" w:eastAsia="Calibri" w:hAnsi="Calibri"/>
              <w:b w:val="false"/>
              <w:bCs w:val="false"/>
              <w:color w:val="000000"/>
              <w:sz w:val="20"/>
              <w:szCs w:val="20"/>
            </w:rPr>
            <w:t xml:space="preserve">Versión: 1</w:t>
          </w:r>
        </w:p>
      </w:tc>
      <w:tc>
        <w:tcPr>
          <w:tcW w:type="dxa" w:w="2048"/>
          <w:vAlign w:val="center"/>
        </w:tcPr>
        <w:p>
          <w:pPr>
            <w:spacing w:after="120" w:before="0" w:line="276"/>
            <w:jc w:val="center"/>
          </w:pPr>
          <w:r>
            <w:rPr>
              <w:rFonts w:ascii="Calibri" w:cs="Calibri" w:eastAsia="Calibri" w:hAnsi="Calibri"/>
              <w:b w:val="false"/>
              <w:bCs w:val="false"/>
              <w:color w:val="000000"/>
              <w:sz w:val="20"/>
              <w:szCs w:val="20"/>
            </w:rPr>
            <w:t xml:space="preserve">Documento</w:t>
          </w:r>
        </w:p>
      </w:tc>
      <w:tc>
        <w:tcPr>
          <w:vMerge w:val="continue"/>
        </w:tcPr>
        <w:p/>
      </w:tc>
    </w:tr>
    <w:tr>
      <w:trPr>
        <w:cantSplit w:val="false"/>
      </w:trPr>
      <w:tc>
        <w:tcPr>
          <w:tcW w:type="dxa" w:w="8192"/>
          <w:gridSpan w:val="4"/>
          <w:vAlign w:val="center"/>
        </w:tcPr>
        <w:p>
          <w:pPr>
            <w:spacing w:after="120" w:before="0" w:line="276"/>
          </w:pPr>
          <w:r>
            <w:rPr>
              <w:rFonts w:ascii="Calibri" w:cs="Calibri" w:eastAsia="Calibri" w:hAnsi="Calibri"/>
              <w:b w:val="false"/>
              <w:bCs w:val="false"/>
              <w:color w:val="000000"/>
              <w:sz w:val="20"/>
              <w:szCs w:val="20"/>
            </w:rPr>
            <w:t xml:space="preserve">Área: CONTROL INTERNO</w:t>
          </w:r>
        </w:p>
      </w:tc>
      <w:tc>
        <w:tcPr>
          <w:tcW w:type="dxa" w:w="2048"/>
          <w:vAlign w:val="center"/>
        </w:tcPr>
        <w:p>
          <w:pPr>
            <w:spacing w:after="120" w:before="0" w:line="276"/>
            <w:jc w:val="center"/>
          </w:pPr>
          <w:r>
            <w:rPr>
              <w:rFonts w:ascii="Calibri" w:cs="Calibri" w:eastAsia="Calibri" w:hAnsi="Calibri"/>
              <w:b/>
              <w:bCs/>
              <w:color w:val="000000"/>
              <w:sz w:val="16"/>
              <w:szCs w:val="16"/>
            </w:rPr>
            <w:t xml:space="preserve">SENDERO FUEL</w:t>
          </w:r>
        </w:p>
      </w:tc>
    </w:tr>
  </w:tbl>
  <w:p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240"/>
      <w:tblInd w:type="dxa" w:w="0"/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  <w:tblLayout w:type="fixed"/>
    </w:tblPr>
    <w:tblGrid>
      <w:gridCol w:w="2048"/>
      <w:gridCol w:w="2048"/>
      <w:gridCol w:w="2048"/>
      <w:gridCol w:w="2048"/>
      <w:gridCol w:w="2048"/>
    </w:tblGrid>
    <w:tr>
      <w:trPr>
        <w:cantSplit w:val="false"/>
      </w:trPr>
      <w:tc>
        <w:tcPr>
          <w:tcW w:type="dxa" w:w="2048"/>
          <w:vAlign w:val="center"/>
        </w:tcPr>
        <w:p>
          <w:pPr>
            <w:spacing w:after="120" w:before="0" w:line="276"/>
            <w:jc w:val="center"/>
          </w:pPr>
          <w:r>
            <w:rPr>
              <w:rFonts w:ascii="Calibri" w:cs="Calibri" w:eastAsia="Calibri" w:hAnsi="Calibri"/>
              <w:b w:val="false"/>
              <w:bCs w:val="false"/>
              <w:color w:val="000000"/>
              <w:sz w:val="20"/>
              <w:szCs w:val="20"/>
            </w:rPr>
            <w:t xml:space="preserve">DOC-SF-018</w:t>
          </w:r>
        </w:p>
      </w:tc>
      <w:tc>
        <w:tcPr>
          <w:tcW w:type="dxa" w:w="6144"/>
          <w:gridSpan w:val="3"/>
          <w:vAlign w:val="center"/>
        </w:tcPr>
        <w:p>
          <w:pPr>
            <w:spacing w:after="120" w:before="0" w:line="276"/>
            <w:jc w:val="center"/>
          </w:pPr>
          <w:r>
            <w:rPr>
              <w:rFonts w:ascii="Calibri" w:cs="Calibri" w:eastAsia="Calibri" w:hAnsi="Calibri"/>
              <w:b/>
              <w:bCs/>
              <w:color w:val="000000"/>
              <w:sz w:val="20"/>
              <w:szCs w:val="20"/>
            </w:rPr>
            <w:t xml:space="preserve">Perfiles de puesto</w:t>
          </w:r>
        </w:p>
      </w:tc>
      <w:tc>
        <w:tcPr>
          <w:tcW w:type="dxa" w:w="2048"/>
          <w:vMerge w:val="restart"/>
          <w:vAlign w:val="center"/>
        </w:tcPr>
        <w:p>
          <w:pPr>
            <w:jc w:val="center"/>
          </w:pPr>
          <w:r>
            <w:drawing>
              <wp:inline distT="0" distB="0" distL="0" distR="0">
                <wp:extent cx="1143000" cy="571500"/>
                <wp:effectExtent t="0" r="0" b="0" l="0"/>
                <wp:docPr id="1" name="logo" descr="Logo Corporativo" title="Logo Corpora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571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>
      <w:trPr>
        <w:cantSplit w:val="false"/>
      </w:trPr>
      <w:tc>
        <w:tcPr>
          <w:tcW w:type="dxa" w:w="2048"/>
          <w:vAlign w:val="center"/>
        </w:tcPr>
        <w:p>
          <w:pPr>
            <w:spacing w:after="120" w:before="0" w:line="276"/>
            <w:jc w:val="center"/>
          </w:pPr>
          <w:r>
            <w:rPr>
              <w:rFonts w:ascii="Calibri" w:cs="Calibri" w:eastAsia="Calibri" w:hAnsi="Calibri"/>
              <w:b w:val="false"/>
              <w:bCs w:val="false"/>
              <w:color w:val="000000"/>
              <w:sz w:val="20"/>
              <w:szCs w:val="20"/>
            </w:rPr>
            <w:t xml:space="preserve">Emisión: 28/5/2026</w:t>
          </w:r>
        </w:p>
      </w:tc>
      <w:tc>
        <w:tcPr>
          <w:tcW w:type="dxa" w:w="2048"/>
          <w:vAlign w:val="center"/>
        </w:tcPr>
        <w:p>
          <w:pPr>
            <w:spacing w:after="120" w:before="0" w:line="276"/>
            <w:jc w:val="center"/>
          </w:pPr>
          <w:r>
            <w:rPr>
              <w:rFonts w:ascii="Calibri" w:cs="Calibri" w:eastAsia="Calibri" w:hAnsi="Calibri"/>
              <w:b w:val="false"/>
              <w:bCs w:val="false"/>
              <w:color w:val="000000"/>
              <w:sz w:val="20"/>
              <w:szCs w:val="20"/>
            </w:rPr>
            <w:t xml:space="preserve">Revisión: 24/8/2026</w:t>
          </w:r>
        </w:p>
      </w:tc>
      <w:tc>
        <w:tcPr>
          <w:tcW w:type="dxa" w:w="2048"/>
          <w:vAlign w:val="center"/>
        </w:tcPr>
        <w:p>
          <w:pPr>
            <w:spacing w:after="120" w:before="0" w:line="276"/>
            <w:jc w:val="center"/>
          </w:pPr>
          <w:r>
            <w:rPr>
              <w:rFonts w:ascii="Calibri" w:cs="Calibri" w:eastAsia="Calibri" w:hAnsi="Calibri"/>
              <w:b w:val="false"/>
              <w:bCs w:val="false"/>
              <w:color w:val="000000"/>
              <w:sz w:val="20"/>
              <w:szCs w:val="20"/>
            </w:rPr>
            <w:t xml:space="preserve">Versión: 1</w:t>
          </w:r>
        </w:p>
      </w:tc>
      <w:tc>
        <w:tcPr>
          <w:tcW w:type="dxa" w:w="2048"/>
          <w:vAlign w:val="center"/>
        </w:tcPr>
        <w:p>
          <w:pPr>
            <w:spacing w:after="120" w:before="0" w:line="276"/>
            <w:jc w:val="center"/>
          </w:pPr>
          <w:r>
            <w:rPr>
              <w:rFonts w:ascii="Calibri" w:cs="Calibri" w:eastAsia="Calibri" w:hAnsi="Calibri"/>
              <w:b w:val="false"/>
              <w:bCs w:val="false"/>
              <w:color w:val="000000"/>
              <w:sz w:val="20"/>
              <w:szCs w:val="20"/>
            </w:rPr>
            <w:t xml:space="preserve">Documento</w:t>
          </w:r>
        </w:p>
      </w:tc>
      <w:tc>
        <w:tcPr>
          <w:vMerge w:val="continue"/>
        </w:tcPr>
        <w:p/>
      </w:tc>
    </w:tr>
    <w:tr>
      <w:trPr>
        <w:cantSplit w:val="false"/>
      </w:trPr>
      <w:tc>
        <w:tcPr>
          <w:tcW w:type="dxa" w:w="8192"/>
          <w:gridSpan w:val="4"/>
          <w:vAlign w:val="center"/>
        </w:tcPr>
        <w:p>
          <w:pPr>
            <w:spacing w:after="120" w:before="0" w:line="276"/>
          </w:pPr>
          <w:r>
            <w:rPr>
              <w:rFonts w:ascii="Calibri" w:cs="Calibri" w:eastAsia="Calibri" w:hAnsi="Calibri"/>
              <w:b w:val="false"/>
              <w:bCs w:val="false"/>
              <w:color w:val="000000"/>
              <w:sz w:val="20"/>
              <w:szCs w:val="20"/>
            </w:rPr>
            <w:t xml:space="preserve">Área: CONTROL INTERNO</w:t>
          </w:r>
        </w:p>
      </w:tc>
      <w:tc>
        <w:tcPr>
          <w:tcW w:type="dxa" w:w="2048"/>
          <w:vAlign w:val="center"/>
        </w:tcPr>
        <w:p>
          <w:pPr>
            <w:spacing w:after="120" w:before="0" w:line="276"/>
            <w:jc w:val="center"/>
          </w:pPr>
          <w:r>
            <w:rPr>
              <w:rFonts w:ascii="Calibri" w:cs="Calibri" w:eastAsia="Calibri" w:hAnsi="Calibri"/>
              <w:b/>
              <w:bCs/>
              <w:color w:val="000000"/>
              <w:sz w:val="16"/>
              <w:szCs w:val="16"/>
            </w:rPr>
            <w:t xml:space="preserve">SENDERO FUEL</w:t>
          </w:r>
        </w:p>
      </w:tc>
    </w:tr>
  </w:tbl>
  <w:p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23b56fe281ed335fc2be6f2777176f69271e48ce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23b56fe281ed335fc2be6f2777176f69271e48ce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Perfiles de puesto</dc:title>
  <dc:subject>Documento</dc:subject>
  <dc:creator>Administrador MAPLINKS</dc:creator>
  <cp:keywords>DOC-SF-018</cp:keywords>
  <dc:description>Documento DOC-SF-018</dc:description>
  <cp:lastModifiedBy>Administrador MAPLINKS</cp:lastModifiedBy>
  <cp:revision>1</cp:revision>
  <dcterms:created xsi:type="dcterms:W3CDTF">2026-09-30T21:33:02.995Z</dcterms:created>
  <dcterms:modified xsi:type="dcterms:W3CDTF">2026-09-30T21:33:02.995Z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