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31/3/2026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la seguridad de la información es el conjunto de estrategias, tendientes a mantener la confidencialidad, integridad, disponibilidad de la información y los datos más importantes para la organización, en donde se engloban las de nuestros clientes.</w:t>
      </w:r>
    </w:p>
    <w:p>
      <w:pPr>
        <w:spacing w:after="120" w:before="0" w:line="276"/>
        <w:jc w:val="both"/>
      </w:pPr>
      <w:r>
        <w:rPr>
          <w:rFonts w:ascii="Calibri" w:cs="Calibri" w:eastAsia="Calibri" w:hAnsi="Calibri"/>
          <w:b w:val="false"/>
          <w:bCs w:val="false"/>
          <w:color w:val="333333"/>
          <w:sz w:val="20"/>
          <w:szCs w:val="20"/>
        </w:rPr>
        <w:t xml:space="preserve">La seguridad de la información se logra implementando un adecuado conjunto de controles, incluyendo políticas, procesos, manuales, procedimientos, estructuras organizacionales y funciones de software y hardware.</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Establecer las directrices de alto nivel para proteger los activos de información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contra amenazas internas y externas, accidentales o deliberadas, asegurando el cumplimiento legal y mitigando los riesgos operativos asociados al manejo del monedero electrónico.</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Las Políticas de Seguridad de la Información son aplicables a todos los aspectos de la empresa, como son: los administrativos, de desarrollo y sistemas; recursos humanos; soporte técnico y de control que deben ser cumplidos por los accionistas, colaboradores, proveedores, distribuidores, clientes, practicantes, visitantes y terceros en general que tengan algún tipo de relación con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 el adecuado cumplimiento de sus funciones y para conseguir un nivel óptimo de protección de las características de calidad y seguridad de la información, aportando con su participación en la toma de medidas preventivas y correctivas, siendo un punto clave para el logro del objetivo y la finalidad de la presente política.</w:t>
      </w:r>
    </w:p>
    <w:p>
      <w:r>
        <w:t xml:space="preserve"> </w:t>
      </w:r>
    </w:p>
    <w:p>
      <w:pPr>
        <w:pStyle w:val="Heading1"/>
        <w:pBdr>
          <w:bottom w:val="single" w:color="D9D9D9" w:sz="4" w:space="8"/>
        </w:pBdr>
        <w:spacing w:after="200" w:before="400" w:line="240"/>
      </w:pPr>
      <w:bookmarkStart w:name="section_3_marco_de_refrencia" w:id="1"/>
      <w:r>
        <w:t xml:space="preserve"/>
      </w:r>
      <w:bookmarkEnd w:id="1"/>
      <w:r>
        <w:rPr>
          <w:rFonts w:ascii="Calibri" w:cs="Calibri" w:eastAsia="Calibri" w:hAnsi="Calibri"/>
          <w:b/>
          <w:bCs/>
          <w:color w:val="000000"/>
          <w:sz w:val="28"/>
          <w:szCs w:val="28"/>
        </w:rPr>
        <w:t xml:space="preserve">4. MARCO DE REFRENCIA</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documento está basado en </w:t>
      </w:r>
      <w:r>
        <w:rPr>
          <w:rFonts w:ascii="Calibri" w:cs="Calibri" w:eastAsia="Calibri" w:hAnsi="Calibri"/>
          <w:b/>
          <w:bCs/>
          <w:color w:val="0070C0"/>
          <w:sz w:val="20"/>
          <w:szCs w:val="20"/>
        </w:rPr>
        <w:t xml:space="preserve">COBIT</w:t>
      </w:r>
      <w:r>
        <w:rPr>
          <w:rFonts w:ascii="Calibri" w:cs="Calibri" w:eastAsia="Calibri" w:hAnsi="Calibri"/>
          <w:b w:val="false"/>
          <w:bCs w:val="false"/>
          <w:color w:val="333333"/>
          <w:sz w:val="20"/>
          <w:szCs w:val="20"/>
        </w:rPr>
        <w:t xml:space="preserve"> (Control Objetives for Information and related Technology) este marco de referencia nos apoya en poder alinear las necesidades del negocio con las capacidades de TI de la empresa. Así mismo nos basamos en el marco de referencia de </w:t>
      </w:r>
      <w:r>
        <w:rPr>
          <w:rFonts w:ascii="Calibri" w:cs="Calibri" w:eastAsia="Calibri" w:hAnsi="Calibri"/>
          <w:b/>
          <w:bCs/>
          <w:color w:val="0070C0"/>
          <w:sz w:val="20"/>
          <w:szCs w:val="20"/>
        </w:rPr>
        <w:t xml:space="preserve">ISO/IEC 27001</w:t>
      </w:r>
      <w:r>
        <w:rPr>
          <w:rFonts w:ascii="Calibri" w:cs="Calibri" w:eastAsia="Calibri" w:hAnsi="Calibri"/>
          <w:b w:val="false"/>
          <w:bCs w:val="false"/>
          <w:color w:val="333333"/>
          <w:sz w:val="20"/>
          <w:szCs w:val="20"/>
        </w:rPr>
        <w:t xml:space="preserve"> para desarrollar, implementar, controlar y mejorar nuestro SGSI, por otra parte, nos apoyamos de </w:t>
      </w:r>
      <w:r>
        <w:rPr>
          <w:rFonts w:ascii="Calibri" w:cs="Calibri" w:eastAsia="Calibri" w:hAnsi="Calibri"/>
          <w:b/>
          <w:bCs/>
          <w:color w:val="0070C0"/>
          <w:sz w:val="20"/>
          <w:szCs w:val="20"/>
        </w:rPr>
        <w:t xml:space="preserve">ISO/IEC 27002</w:t>
      </w:r>
      <w:r>
        <w:rPr>
          <w:rFonts w:ascii="Calibri" w:cs="Calibri" w:eastAsia="Calibri" w:hAnsi="Calibri"/>
          <w:b w:val="false"/>
          <w:bCs w:val="false"/>
          <w:color w:val="333333"/>
          <w:sz w:val="20"/>
          <w:szCs w:val="20"/>
        </w:rPr>
        <w:t xml:space="preserve"> para documentar apropiadamente los controles de seguridad y de </w:t>
      </w:r>
      <w:r>
        <w:rPr>
          <w:rFonts w:ascii="Calibri" w:cs="Calibri" w:eastAsia="Calibri" w:hAnsi="Calibri"/>
          <w:b/>
          <w:bCs/>
          <w:color w:val="0070C0"/>
          <w:sz w:val="20"/>
          <w:szCs w:val="20"/>
        </w:rPr>
        <w:t xml:space="preserve">ITIL</w:t>
      </w:r>
      <w:r>
        <w:rPr>
          <w:rFonts w:ascii="Calibri" w:cs="Calibri" w:eastAsia="Calibri" w:hAnsi="Calibri"/>
          <w:b w:val="false"/>
          <w:bCs w:val="false"/>
          <w:color w:val="333333"/>
          <w:sz w:val="20"/>
          <w:szCs w:val="20"/>
        </w:rPr>
        <w:t xml:space="preserve"> como marco de referencia del ciclo de vida del servicio.</w:t>
      </w:r>
    </w:p>
    <w:p>
      <w:pPr>
        <w:spacing w:after="120" w:before="0" w:line="276"/>
        <w:jc w:val="left"/>
      </w:pPr>
      <w:r>
        <w:rPr>
          <w:rFonts w:ascii="Calibri" w:cs="Calibri" w:eastAsia="Calibri" w:hAnsi="Calibri"/>
          <w:b w:val="false"/>
          <w:bCs w:val="false"/>
          <w:color w:val="333333"/>
          <w:sz w:val="20"/>
          <w:szCs w:val="20"/>
        </w:rPr>
        <w:t xml:space="preserve">Nos basamos en el ciclo de Deming, para el desarrollo de nuestros procesos:</w:t>
      </w:r>
    </w:p>
    <w:p>
      <w:pPr>
        <w:pStyle w:val="ListParagraph"/>
        <w:numPr>
          <w:ilvl w:val="0"/>
          <w:numId w:val="1"/>
        </w:numPr>
        <w:spacing w:line="276"/>
        <w:jc w:val="left"/>
      </w:pPr>
      <w:r>
        <w:rPr>
          <w:rFonts w:ascii="Calibri" w:cs="Calibri" w:eastAsia="Calibri" w:hAnsi="Calibri"/>
          <w:b/>
          <w:bCs/>
          <w:color w:val="333333"/>
          <w:sz w:val="20"/>
          <w:szCs w:val="20"/>
        </w:rPr>
        <w:t xml:space="preserve">Plan de gestión de servicios:</w:t>
      </w:r>
      <w:r>
        <w:rPr>
          <w:rFonts w:ascii="Calibri" w:cs="Calibri" w:eastAsia="Calibri" w:hAnsi="Calibri"/>
          <w:b w:val="false"/>
          <w:bCs w:val="false"/>
          <w:color w:val="333333"/>
          <w:sz w:val="20"/>
          <w:szCs w:val="20"/>
        </w:rPr>
        <w:t xml:space="preserve"> consiste en establecer el contexto en el cual se crean las políticas de seguridad, realizando el análisis de riesgos, la selección de lkos controles apropiados y el estado de aplicabilidad.</w:t>
      </w:r>
    </w:p>
    <w:p>
      <w:pPr>
        <w:pStyle w:val="ListParagraph"/>
        <w:numPr>
          <w:ilvl w:val="0"/>
          <w:numId w:val="1"/>
        </w:numPr>
        <w:spacing w:line="276"/>
        <w:jc w:val="left"/>
      </w:pPr>
      <w:r>
        <w:rPr>
          <w:rFonts w:ascii="Calibri" w:cs="Calibri" w:eastAsia="Calibri" w:hAnsi="Calibri"/>
          <w:b/>
          <w:bCs/>
          <w:color w:val="333333"/>
          <w:sz w:val="20"/>
          <w:szCs w:val="20"/>
        </w:rPr>
        <w:t xml:space="preserve">Implantación y puesta en marcha:</w:t>
      </w:r>
      <w:r>
        <w:rPr>
          <w:rFonts w:ascii="Calibri" w:cs="Calibri" w:eastAsia="Calibri" w:hAnsi="Calibri"/>
          <w:b w:val="false"/>
          <w:bCs w:val="false"/>
          <w:color w:val="333333"/>
          <w:sz w:val="20"/>
          <w:szCs w:val="20"/>
        </w:rPr>
        <w:t xml:space="preserve"> consiste en implementar el sistema de gestión de seguridad de la información, poniendo en marcha el plan de riesgos y aplicando los controles pertinentes.</w:t>
      </w:r>
    </w:p>
    <w:p>
      <w:pPr>
        <w:pStyle w:val="ListParagraph"/>
        <w:numPr>
          <w:ilvl w:val="0"/>
          <w:numId w:val="1"/>
        </w:numPr>
        <w:spacing w:line="276"/>
        <w:jc w:val="left"/>
      </w:pPr>
      <w:r>
        <w:rPr>
          <w:rFonts w:ascii="Calibri" w:cs="Calibri" w:eastAsia="Calibri" w:hAnsi="Calibri"/>
          <w:b/>
          <w:bCs/>
          <w:color w:val="333333"/>
          <w:sz w:val="20"/>
          <w:szCs w:val="20"/>
        </w:rPr>
        <w:t xml:space="preserve">Verificar:</w:t>
      </w:r>
      <w:r>
        <w:rPr>
          <w:rFonts w:ascii="Calibri" w:cs="Calibri" w:eastAsia="Calibri" w:hAnsi="Calibri"/>
          <w:b w:val="false"/>
          <w:bCs w:val="false"/>
          <w:color w:val="333333"/>
          <w:sz w:val="20"/>
          <w:szCs w:val="20"/>
        </w:rPr>
        <w:t xml:space="preserve"> consiste en monitorear las actividades y hacer auditorías internas.</w:t>
      </w:r>
    </w:p>
    <w:p>
      <w:pPr>
        <w:pStyle w:val="ListParagraph"/>
        <w:numPr>
          <w:ilvl w:val="0"/>
          <w:numId w:val="1"/>
        </w:numPr>
        <w:spacing w:line="276"/>
        <w:jc w:val="left"/>
      </w:pPr>
      <w:r>
        <w:rPr>
          <w:rFonts w:ascii="Calibri" w:cs="Calibri" w:eastAsia="Calibri" w:hAnsi="Calibri"/>
          <w:b/>
          <w:bCs/>
          <w:color w:val="333333"/>
          <w:sz w:val="20"/>
          <w:szCs w:val="20"/>
        </w:rPr>
        <w:t xml:space="preserve">Actuar:</w:t>
      </w:r>
      <w:r>
        <w:rPr>
          <w:rFonts w:ascii="Calibri" w:cs="Calibri" w:eastAsia="Calibri" w:hAnsi="Calibri"/>
          <w:b w:val="false"/>
          <w:bCs w:val="false"/>
          <w:color w:val="333333"/>
          <w:sz w:val="20"/>
          <w:szCs w:val="20"/>
        </w:rPr>
        <w:t xml:space="preserve"> consiste en ejecutar tareas de mantenimiento, propuestas de mejora, acciones preventivas y acciones correctivas.</w:t>
      </w:r>
    </w:p>
    <w:p>
      <w:r>
        <w:t xml:space="preserve"> </w:t>
      </w:r>
    </w:p>
    <w:p>
      <w:pPr>
        <w:pStyle w:val="Heading1"/>
        <w:pBdr>
          <w:bottom w:val="single" w:color="D9D9D9" w:sz="4" w:space="8"/>
        </w:pBdr>
        <w:spacing w:after="200" w:before="400" w:line="240"/>
      </w:pPr>
      <w:bookmarkStart w:name="section_4_iso_27001" w:id="1"/>
      <w:r>
        <w:t xml:space="preserve"/>
      </w:r>
      <w:bookmarkEnd w:id="1"/>
      <w:r>
        <w:rPr>
          <w:rFonts w:ascii="Calibri" w:cs="Calibri" w:eastAsia="Calibri" w:hAnsi="Calibri"/>
          <w:b/>
          <w:bCs/>
          <w:color w:val="000000"/>
          <w:sz w:val="28"/>
          <w:szCs w:val="28"/>
        </w:rPr>
        <w:t xml:space="preserve">5. ISO 27001</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marco de referencia, nos aporta una guía para poder implementar un Sistema de Gestión de la Seguridad de la Información (SGSI), consistente en medidas orientadas a proteger los activos, contra cualquier amenaza, de forma que se pueda garantizar en todo momento la continuidad de las actividades de la empresa.</w:t>
      </w:r>
    </w:p>
    <w:p>
      <w:r>
        <w:t xml:space="preserve"> </w:t>
      </w:r>
    </w:p>
    <w:p>
      <w:pPr>
        <w:pStyle w:val="Heading1"/>
        <w:pBdr>
          <w:bottom w:val="single" w:color="D9D9D9" w:sz="4" w:space="8"/>
        </w:pBdr>
        <w:spacing w:after="200" w:before="400" w:line="240"/>
      </w:pPr>
      <w:bookmarkStart w:name="section_5_normatividad_aplicable" w:id="1"/>
      <w:r>
        <w:t xml:space="preserve"/>
      </w:r>
      <w:bookmarkEnd w:id="1"/>
      <w:r>
        <w:rPr>
          <w:rFonts w:ascii="Calibri" w:cs="Calibri" w:eastAsia="Calibri" w:hAnsi="Calibri"/>
          <w:b/>
          <w:bCs/>
          <w:color w:val="000000"/>
          <w:sz w:val="28"/>
          <w:szCs w:val="28"/>
        </w:rPr>
        <w:t xml:space="preserve">6.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6_formatos_relacionados" w:id="1"/>
      <w:r>
        <w:t xml:space="preserve"/>
      </w:r>
      <w:bookmarkEnd w:id="1"/>
      <w:r>
        <w:rPr>
          <w:rFonts w:ascii="Calibri" w:cs="Calibri" w:eastAsia="Calibri" w:hAnsi="Calibri"/>
          <w:b/>
          <w:bCs/>
          <w:color w:val="000000"/>
          <w:sz w:val="28"/>
          <w:szCs w:val="28"/>
        </w:rPr>
        <w:t xml:space="preserve">7.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EV-SF-002 — EVIDENCIA COLABORADORES POLITICA DE SEGURIDAD DE LA INFORCACIÓN.pdf</w:t>
      </w:r>
    </w:p>
    <w:p>
      <w:pPr>
        <w:spacing w:after="60" w:before="60" w:line="276"/>
      </w:pPr>
      <w:r>
        <w:rPr>
          <w:rFonts w:ascii="Calibri" w:cs="Calibri" w:eastAsia="Calibri" w:hAnsi="Calibri"/>
          <w:b w:val="false"/>
          <w:bCs w:val="false"/>
          <w:color w:val="333333"/>
          <w:sz w:val="20"/>
          <w:szCs w:val="20"/>
        </w:rPr>
        <w:t xml:space="preserve">• EV-SF-003 — EVIDENCIA PROVEEDORES POLITICA DE SEGURIDAD DE LA INFORMACIÓN.pdf</w:t>
      </w:r>
    </w:p>
    <w:p>
      <w:pPr>
        <w:spacing w:after="60" w:before="60" w:line="276"/>
      </w:pPr>
      <w:r>
        <w:rPr>
          <w:rFonts w:ascii="Calibri" w:cs="Calibri" w:eastAsia="Calibri" w:hAnsi="Calibri"/>
          <w:b w:val="false"/>
          <w:bCs w:val="false"/>
          <w:color w:val="333333"/>
          <w:sz w:val="20"/>
          <w:szCs w:val="20"/>
        </w:rPr>
        <w:t xml:space="preserve">• EV-SF-004 — EVIDENCIA FOTOGRÁFICA UBICACIÓN DE POLÍTICA.pdf</w:t>
      </w:r>
    </w:p>
    <w:p>
      <w:pPr>
        <w:spacing w:after="60" w:before="60" w:line="276"/>
      </w:pPr>
      <w:r>
        <w:rPr>
          <w:rFonts w:ascii="Calibri" w:cs="Calibri" w:eastAsia="Calibri" w:hAnsi="Calibri"/>
          <w:b w:val="false"/>
          <w:bCs w:val="false"/>
          <w:color w:val="333333"/>
          <w:sz w:val="20"/>
          <w:szCs w:val="20"/>
        </w:rPr>
        <w:t xml:space="preserve">• EV-SF-012 — ENERGO, CONTRATO DE PRESTACIÓN DE SERVICIOS CORPORATIVO DE ENERGIA.pdf</w:t>
      </w:r>
    </w:p>
    <w:p>
      <w:pPr>
        <w:spacing w:after="60" w:before="60" w:line="276"/>
      </w:pPr>
      <w:r>
        <w:rPr>
          <w:rFonts w:ascii="Calibri" w:cs="Calibri" w:eastAsia="Calibri" w:hAnsi="Calibri"/>
          <w:b w:val="false"/>
          <w:bCs w:val="false"/>
          <w:color w:val="333333"/>
          <w:sz w:val="20"/>
          <w:szCs w:val="20"/>
        </w:rPr>
        <w:t xml:space="preserve">• EV-SF-013 — ENERGO, CONTRATO DE PRESTACIÓN DE SERVICIOS EFT.pdf</w:t>
      </w:r>
    </w:p>
    <w:p>
      <w:pPr>
        <w:spacing w:after="60" w:before="60" w:line="276"/>
      </w:pPr>
      <w:r>
        <w:rPr>
          <w:rFonts w:ascii="Calibri" w:cs="Calibri" w:eastAsia="Calibri" w:hAnsi="Calibri"/>
          <w:b w:val="false"/>
          <w:bCs w:val="false"/>
          <w:color w:val="333333"/>
          <w:sz w:val="20"/>
          <w:szCs w:val="20"/>
        </w:rPr>
        <w:t xml:space="preserve">• MINUTA SEGURIDAD DE LA INFORMACIÓN -FIRMADA.pdf</w:t>
      </w:r>
    </w:p>
    <w:p>
      <w:r>
        <w:t xml:space="preserve"> </w:t>
      </w:r>
    </w:p>
    <w:p>
      <w:pPr>
        <w:pStyle w:val="Heading1"/>
        <w:pBdr>
          <w:bottom w:val="single" w:color="D9D9D9" w:sz="4" w:space="8"/>
        </w:pBdr>
        <w:spacing w:after="200" w:before="400" w:line="240"/>
      </w:pPr>
      <w:bookmarkStart w:name="section_7_roles_y_responsabilidades" w:id="1"/>
      <w:r>
        <w:t xml:space="preserve"/>
      </w:r>
      <w:bookmarkEnd w:id="1"/>
      <w:r>
        <w:rPr>
          <w:rFonts w:ascii="Calibri" w:cs="Calibri" w:eastAsia="Calibri" w:hAnsi="Calibri"/>
          <w:b/>
          <w:bCs/>
          <w:color w:val="000000"/>
          <w:sz w:val="28"/>
          <w:szCs w:val="28"/>
        </w:rPr>
        <w:t xml:space="preserve">8. ROLES Y RESPONSABILIDADES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En cumplimiento con el compromiso de crear, mejorar y mantener un sistema de gestión de seguridad de la información, se han asignado responsables de su custodia, seguimiento y supervisión. Tomando en cuenta que es un proceso vivo dentro de un ciclo de mejora continua permanente:</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413"/>
        <w:gridCol w:w="3413"/>
        <w:gridCol w:w="3414"/>
      </w:tblGrid>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3413"/>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RESPONSABLES</w:t>
            </w:r>
          </w:p>
        </w:tc>
        <w:tc>
          <w:tcPr>
            <w:tcW w:type="dxa" w:w="3414"/>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RESPONSABILIDADES</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Propietario</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Accionistas y director general</w:t>
            </w:r>
          </w:p>
        </w:tc>
        <w:tc>
          <w:tcPr>
            <w:tcW w:type="dxa" w:w="3414"/>
            <w:tcMar>
              <w:top w:type="dxa" w:w="100"/>
              <w:left w:type="dxa" w:w="80"/>
              <w:bottom w:type="dxa" w:w="100"/>
              <w:right w:type="dxa" w:w="80"/>
            </w:tcMar>
            <w:vAlign w:val="center"/>
          </w:tcPr>
          <w:p>
            <w:pPr>
              <w:pStyle w:val="ListParagraph"/>
              <w:numPr>
                <w:ilvl w:val="0"/>
                <w:numId w:val="1"/>
              </w:numPr>
            </w:pPr>
            <w:r>
              <w:rPr>
                <w:rFonts w:ascii="Calibri" w:cs="Calibri" w:eastAsia="Calibri" w:hAnsi="Calibri"/>
                <w:b w:val="false"/>
                <w:bCs w:val="false"/>
                <w:color w:val="333333"/>
                <w:sz w:val="18"/>
                <w:szCs w:val="18"/>
              </w:rPr>
              <w:t xml:space="preserve">Realizar los esfuerzos necesarios para preservar la confidencialidad, integridad, disponibilidad y continuidad de las operaciones.</w:t>
            </w:r>
          </w:p>
          <w:p>
            <w:pPr>
              <w:pStyle w:val="ListParagraph"/>
              <w:numPr>
                <w:ilvl w:val="0"/>
                <w:numId w:val="1"/>
              </w:numPr>
            </w:pPr>
            <w:r>
              <w:rPr>
                <w:rFonts w:ascii="Calibri" w:cs="Calibri" w:eastAsia="Calibri" w:hAnsi="Calibri"/>
                <w:b w:val="false"/>
                <w:bCs w:val="false"/>
                <w:color w:val="333333"/>
                <w:sz w:val="18"/>
                <w:szCs w:val="18"/>
              </w:rPr>
              <w:t xml:space="preserve">Decidir sobre la clasificación que tendrá la información.</w:t>
            </w:r>
          </w:p>
          <w:p>
            <w:pPr>
              <w:pStyle w:val="ListParagraph"/>
              <w:numPr>
                <w:ilvl w:val="0"/>
                <w:numId w:val="1"/>
              </w:numPr>
            </w:pPr>
            <w:r>
              <w:rPr>
                <w:rFonts w:ascii="Calibri" w:cs="Calibri" w:eastAsia="Calibri" w:hAnsi="Calibri"/>
                <w:b w:val="false"/>
                <w:bCs w:val="false"/>
                <w:color w:val="333333"/>
                <w:sz w:val="18"/>
                <w:szCs w:val="18"/>
              </w:rPr>
              <w:t xml:space="preserve">Crear y fomentar una cultura y consciencia de seguridad en los trabajadores, proveedores y terceros en general, que hagan uso de los activos propiedad y/o en poder de </w:t>
            </w:r>
            <w:r>
              <w:rPr>
                <w:rFonts w:ascii="Calibri" w:cs="Calibri" w:eastAsia="Calibri" w:hAnsi="Calibri"/>
                <w:b/>
                <w:bCs/>
                <w:color w:val="333333"/>
                <w:sz w:val="18"/>
                <w:szCs w:val="18"/>
              </w:rPr>
              <w:t xml:space="preserve">SENDERO FUEL.</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Supervisor</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Directores y jefes de ├írea</w:t>
            </w:r>
          </w:p>
        </w:tc>
        <w:tc>
          <w:tcPr>
            <w:tcW w:type="dxa" w:w="3414"/>
            <w:tcMar>
              <w:top w:type="dxa" w:w="100"/>
              <w:left w:type="dxa" w:w="80"/>
              <w:bottom w:type="dxa" w:w="100"/>
              <w:right w:type="dxa" w:w="80"/>
            </w:tcMar>
            <w:vAlign w:val="center"/>
          </w:tcPr>
          <w:p>
            <w:pPr>
              <w:pStyle w:val="ListParagraph"/>
              <w:numPr>
                <w:ilvl w:val="0"/>
                <w:numId w:val="1"/>
              </w:numPr>
            </w:pPr>
            <w:r>
              <w:rPr>
                <w:rFonts w:ascii="Calibri" w:cs="Calibri" w:eastAsia="Calibri" w:hAnsi="Calibri"/>
                <w:b w:val="false"/>
                <w:bCs w:val="false"/>
                <w:color w:val="333333"/>
                <w:sz w:val="18"/>
                <w:szCs w:val="18"/>
              </w:rPr>
              <w:t xml:space="preserve">Observar, dar cumplimiento y asegurarse que sus subalternos se encuentren alineados a las disposiciones de la presente política.</w:t>
            </w:r>
          </w:p>
          <w:p>
            <w:pPr>
              <w:pStyle w:val="ListParagraph"/>
              <w:numPr>
                <w:ilvl w:val="0"/>
                <w:numId w:val="1"/>
              </w:numPr>
            </w:pPr>
            <w:r>
              <w:rPr>
                <w:rFonts w:ascii="Calibri" w:cs="Calibri" w:eastAsia="Calibri" w:hAnsi="Calibri"/>
                <w:b w:val="false"/>
                <w:bCs w:val="false"/>
                <w:color w:val="333333"/>
                <w:sz w:val="18"/>
                <w:szCs w:val="18"/>
              </w:rPr>
              <w:t xml:space="preserve">Informar al administrador de la seguridad cuando un empleado es despedido, suspendido o transferido.</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Custodio</w:t>
            </w:r>
          </w:p>
        </w:tc>
        <w:tc>
          <w:tcPr>
            <w:tcW w:type="dxa" w:w="3413"/>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Gerente de TI </w:t>
            </w:r>
            <w:r>
              <w:rPr>
                <w:rFonts w:ascii="Calibri" w:cs="Calibri" w:eastAsia="Calibri" w:hAnsi="Calibri"/>
                <w:b w:val="false"/>
                <w:bCs w:val="false"/>
                <w:color w:val="333333"/>
                <w:sz w:val="18"/>
                <w:szCs w:val="18"/>
              </w:rPr>
              <w:t xml:space="preserve">(director general)</w:t>
            </w:r>
          </w:p>
        </w:tc>
        <w:tc>
          <w:tcPr>
            <w:tcW w:type="dxa" w:w="3414"/>
            <w:tcMar>
              <w:top w:type="dxa" w:w="100"/>
              <w:left w:type="dxa" w:w="80"/>
              <w:bottom w:type="dxa" w:w="100"/>
              <w:right w:type="dxa" w:w="80"/>
            </w:tcMar>
            <w:vAlign w:val="center"/>
          </w:tcPr>
          <w:p>
            <w:pPr>
              <w:pStyle w:val="ListParagraph"/>
              <w:numPr>
                <w:ilvl w:val="0"/>
                <w:numId w:val="1"/>
              </w:numPr>
            </w:pPr>
            <w:r>
              <w:rPr>
                <w:rFonts w:ascii="Calibri" w:cs="Calibri" w:eastAsia="Calibri" w:hAnsi="Calibri"/>
                <w:b w:val="false"/>
                <w:bCs w:val="false"/>
                <w:color w:val="333333"/>
                <w:sz w:val="18"/>
                <w:szCs w:val="18"/>
              </w:rPr>
              <w:t xml:space="preserve">Es el responsable de implementar las medidas y controles necesarios para salvaguardar los activos de información de acuerdo con la clasificación establecida por el propietario.</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Auditor de seguridad interno</w:t>
            </w:r>
          </w:p>
        </w:tc>
        <w:tc>
          <w:tcPr>
            <w:tcW w:type="dxa" w:w="3414"/>
            <w:tcMar>
              <w:top w:type="dxa" w:w="100"/>
              <w:left w:type="dxa" w:w="80"/>
              <w:bottom w:type="dxa" w:w="100"/>
              <w:right w:type="dxa" w:w="80"/>
            </w:tcMar>
            <w:vAlign w:val="center"/>
          </w:tcPr>
          <w:p>
            <w:pPr>
              <w:pStyle w:val="ListParagraph"/>
              <w:numPr>
                <w:ilvl w:val="0"/>
                <w:numId w:val="1"/>
              </w:numPr>
            </w:pPr>
            <w:r>
              <w:rPr>
                <w:rFonts w:ascii="Calibri" w:cs="Calibri" w:eastAsia="Calibri" w:hAnsi="Calibri"/>
                <w:b w:val="false"/>
                <w:bCs w:val="false"/>
                <w:color w:val="333333"/>
                <w:sz w:val="18"/>
                <w:szCs w:val="18"/>
              </w:rPr>
              <w:t xml:space="preserve">Vigila el cumplimiento normativo y regulatorio del negocio.</w:t>
            </w:r>
          </w:p>
          <w:p>
            <w:pPr>
              <w:pStyle w:val="ListParagraph"/>
              <w:numPr>
                <w:ilvl w:val="0"/>
                <w:numId w:val="1"/>
              </w:numPr>
            </w:pPr>
            <w:r>
              <w:rPr>
                <w:rFonts w:ascii="Calibri" w:cs="Calibri" w:eastAsia="Calibri" w:hAnsi="Calibri"/>
                <w:b w:val="false"/>
                <w:bCs w:val="false"/>
                <w:color w:val="333333"/>
                <w:sz w:val="18"/>
                <w:szCs w:val="18"/>
              </w:rPr>
              <w:t xml:space="preserve">Supervisa las estrategias de seguridad implementadas.</w:t>
            </w:r>
          </w:p>
          <w:p>
            <w:pPr>
              <w:pStyle w:val="ListParagraph"/>
              <w:numPr>
                <w:ilvl w:val="0"/>
                <w:numId w:val="1"/>
              </w:numPr>
            </w:pPr>
            <w:r>
              <w:rPr>
                <w:rFonts w:ascii="Calibri" w:cs="Calibri" w:eastAsia="Calibri" w:hAnsi="Calibri"/>
                <w:b w:val="false"/>
                <w:bCs w:val="false"/>
                <w:color w:val="333333"/>
                <w:sz w:val="18"/>
                <w:szCs w:val="18"/>
              </w:rPr>
              <w:t xml:space="preserve">Mantiene actualizadas las políticas de seguridad, siempre alineadas a las mejores prácticas del marco de referencia ISO/IEC 27001, así como la normatividad emitida por las autoridades competentes.</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Usuario</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Personas que utilizan el activo de información de manera directa o indirecta, ya sea para el ejercicio de sus funciones laborales, de distribución autorizada o de cualquier otra naturaleza, ligados a </w:t>
            </w:r>
            <w:r>
              <w:rPr>
                <w:rFonts w:ascii="Calibri" w:cs="Calibri" w:eastAsia="Calibri" w:hAnsi="Calibri"/>
                <w:b/>
                <w:bCs/>
                <w:color w:val="333333"/>
                <w:sz w:val="18"/>
                <w:szCs w:val="18"/>
              </w:rPr>
              <w:t xml:space="preserve">SENDERO FUEL</w:t>
            </w:r>
          </w:p>
        </w:tc>
        <w:tc>
          <w:tcPr>
            <w:tcW w:type="dxa" w:w="3414"/>
            <w:tcMar>
              <w:top w:type="dxa" w:w="100"/>
              <w:left w:type="dxa" w:w="80"/>
              <w:bottom w:type="dxa" w:w="100"/>
              <w:right w:type="dxa" w:w="80"/>
            </w:tcMar>
            <w:vAlign w:val="center"/>
          </w:tcPr>
          <w:p>
            <w:pPr>
              <w:pStyle w:val="ListParagraph"/>
              <w:numPr>
                <w:ilvl w:val="0"/>
                <w:numId w:val="1"/>
              </w:numPr>
            </w:pPr>
            <w:r>
              <w:rPr>
                <w:rFonts w:ascii="Calibri" w:cs="Calibri" w:eastAsia="Calibri" w:hAnsi="Calibri"/>
                <w:b w:val="false"/>
                <w:bCs w:val="false"/>
                <w:color w:val="333333"/>
                <w:sz w:val="18"/>
                <w:szCs w:val="18"/>
              </w:rPr>
              <w:t xml:space="preserve">Tienen la responsabilidad de hacer buen uso de la información, con estricto apego al presente manual.</w:t>
            </w:r>
          </w:p>
        </w:tc>
      </w:tr>
    </w:tbl>
    <w:p>
      <w:r>
        <w:rPr>
          <w:sz w:val="2"/>
          <w:szCs w:val="2"/>
        </w:rPr>
        <w:t xml:space="preserve"/>
      </w:r>
    </w:p>
    <w:p>
      <w:r>
        <w:t xml:space="preserve"> </w:t>
      </w:r>
    </w:p>
    <w:p>
      <w:pPr>
        <w:pStyle w:val="Heading1"/>
        <w:pBdr>
          <w:bottom w:val="single" w:color="D9D9D9" w:sz="4" w:space="8"/>
        </w:pBdr>
        <w:spacing w:after="200" w:before="400" w:line="240"/>
      </w:pPr>
      <w:bookmarkStart w:name="section_8_compromiso_y_participacion_activa_de_la_alta_direccion_con_la_seguridad_de_la_informacion" w:id="1"/>
      <w:r>
        <w:t xml:space="preserve"/>
      </w:r>
      <w:bookmarkEnd w:id="1"/>
      <w:r>
        <w:rPr>
          <w:rFonts w:ascii="Calibri" w:cs="Calibri" w:eastAsia="Calibri" w:hAnsi="Calibri"/>
          <w:b/>
          <w:bCs/>
          <w:color w:val="000000"/>
          <w:sz w:val="28"/>
          <w:szCs w:val="28"/>
        </w:rPr>
        <w:t xml:space="preserve">9. COMPROMISO Y PARTICIPACIÓN ACTIVA DE LA ALTA DIRECCIÓN CON LA SEGURIDAD DE LA INFORMACIÓN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alta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compuesta por sus accionistas y </w:t>
      </w:r>
      <w:r>
        <w:rPr>
          <w:rFonts w:ascii="Calibri" w:cs="Calibri" w:eastAsia="Calibri" w:hAnsi="Calibri"/>
          <w:b/>
          <w:bCs/>
          <w:color w:val="333333"/>
          <w:sz w:val="20"/>
          <w:szCs w:val="20"/>
        </w:rPr>
        <w:t xml:space="preserve">Dirección General</w:t>
      </w:r>
      <w:r>
        <w:rPr>
          <w:rFonts w:ascii="Calibri" w:cs="Calibri" w:eastAsia="Calibri" w:hAnsi="Calibri"/>
          <w:b w:val="false"/>
          <w:bCs w:val="false"/>
          <w:color w:val="333333"/>
          <w:sz w:val="20"/>
          <w:szCs w:val="20"/>
        </w:rPr>
        <w:t xml:space="preserve">, reconoce que la información es vital para el desarrollo de sus actividades, pues constituye la herramienta primordial para la toma de decisiones creativas y empresariales, motivo por el cual se compromete a proteger los activos de información que obren en su poder, orientando sus esfuerzos a la preservación de la confidencialidad, integridad, disponibilidad, a la continuidad de sus operaciones, a la administración y/o gestión de riesgos, a la creación de una cultura y consciencia de seguridad en los trabajadores (sin importar jerarquía), contratistas, proveedores, distribuidores, clientes, practicantes, visitantes y terceros en general, que hagan uso de los activos de información propiedad y/o en poder de la empresa, tomando como base que la efectividad de las políticas expuestas en este documento, dependen del compromiso y comportamiento de las personas y de los controles establecidos para tal efecto.</w:t>
      </w:r>
    </w:p>
    <w:p>
      <w:pPr>
        <w:spacing w:after="120" w:before="0" w:line="276"/>
        <w:jc w:val="both"/>
      </w:pPr>
      <w:r>
        <w:rPr>
          <w:rFonts w:ascii="Calibri" w:cs="Calibri" w:eastAsia="Calibri" w:hAnsi="Calibri"/>
          <w:b w:val="false"/>
          <w:bCs w:val="false"/>
          <w:color w:val="333333"/>
          <w:sz w:val="20"/>
          <w:szCs w:val="20"/>
        </w:rPr>
        <w:t xml:space="preserve">Por lo antes expuesto, la alta dirección incluirá en su presupuesto de egresos anual una partida, con la finalidad de implementar y mejorar las políticas y controles de seguridad de la información descritos en este documento.</w:t>
      </w:r>
    </w:p>
    <w:p>
      <w:pPr>
        <w:pStyle w:val="Heading2"/>
        <w:spacing w:after="200" w:before="400" w:line="240"/>
        <w:jc w:val="left"/>
      </w:pPr>
      <w:r>
        <w:rPr>
          <w:rFonts w:ascii="Calibri" w:cs="Calibri" w:eastAsia="Calibri" w:hAnsi="Calibri"/>
          <w:b/>
          <w:bCs/>
          <w:color w:val="000000"/>
          <w:sz w:val="20"/>
          <w:szCs w:val="20"/>
        </w:rPr>
        <w:t xml:space="preserve">Presupuesto</w:t>
      </w:r>
    </w:p>
    <w:p>
      <w:pPr>
        <w:spacing w:after="120" w:before="0" w:line="276"/>
        <w:jc w:val="both"/>
      </w:pPr>
      <w:r>
        <w:rPr>
          <w:rFonts w:ascii="Calibri" w:cs="Calibri" w:eastAsia="Calibri" w:hAnsi="Calibri"/>
          <w:b w:val="false"/>
          <w:bCs w:val="false"/>
          <w:color w:val="333333"/>
          <w:sz w:val="20"/>
          <w:szCs w:val="20"/>
        </w:rPr>
        <w:t xml:space="preserve">Se destinará de forma permanente como mínimo el 0.5% del presupuesto anual de sueldos y salarios neto del personal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 tratar temas específicos, como:</w:t>
      </w:r>
    </w:p>
    <w:p>
      <w:pPr>
        <w:spacing w:after="120" w:before="0" w:line="276"/>
        <w:jc w:val="left"/>
      </w:pPr>
      <w:r>
        <w:rPr>
          <w:rFonts w:ascii="Calibri" w:cs="Calibri" w:eastAsia="Calibri" w:hAnsi="Calibri"/>
          <w:b w:val="false"/>
          <w:bCs w:val="false"/>
          <w:color w:val="333333"/>
          <w:sz w:val="20"/>
          <w:szCs w:val="20"/>
        </w:rPr>
        <w:t xml:space="preserve">Sesiones de capacitación para nuevos ingresos, respecto a la seguridad de la información.</w:t>
      </w:r>
    </w:p>
    <w:p>
      <w:pPr>
        <w:spacing w:after="120" w:before="0" w:line="276"/>
        <w:jc w:val="left"/>
      </w:pPr>
      <w:r>
        <w:rPr>
          <w:rFonts w:ascii="Calibri" w:cs="Calibri" w:eastAsia="Calibri" w:hAnsi="Calibri"/>
          <w:b w:val="false"/>
          <w:bCs w:val="false"/>
          <w:color w:val="333333"/>
          <w:sz w:val="20"/>
          <w:szCs w:val="20"/>
        </w:rPr>
        <w:t xml:space="preserve">Sesiones de actualización en temas relacionados a incrementar el conocimiento, adopción y práctica de los controles de seguridad de la información.</w:t>
      </w:r>
    </w:p>
    <w:p>
      <w:pPr>
        <w:spacing w:after="120" w:before="0" w:line="276"/>
        <w:jc w:val="left"/>
      </w:pPr>
      <w:r>
        <w:rPr>
          <w:rFonts w:ascii="Calibri" w:cs="Calibri" w:eastAsia="Calibri" w:hAnsi="Calibri"/>
          <w:b w:val="false"/>
          <w:bCs w:val="false"/>
          <w:color w:val="333333"/>
          <w:sz w:val="20"/>
          <w:szCs w:val="20"/>
        </w:rPr>
        <w:t xml:space="preserve">Contratación de personal de apoyo al oficial de seguridad (Si es necesario)</w:t>
      </w:r>
    </w:p>
    <w:p>
      <w:pPr>
        <w:spacing w:after="120" w:before="0" w:line="276"/>
        <w:jc w:val="left"/>
      </w:pPr>
      <w:r>
        <w:rPr>
          <w:rFonts w:ascii="Calibri" w:cs="Calibri" w:eastAsia="Calibri" w:hAnsi="Calibri"/>
          <w:b w:val="false"/>
          <w:bCs w:val="false"/>
          <w:color w:val="333333"/>
          <w:sz w:val="20"/>
          <w:szCs w:val="20"/>
        </w:rPr>
        <w:t xml:space="preserve">Contratación de software que permita la automatización del proceso de control y vigilancia de los controles de seguridad de la información.</w:t>
      </w:r>
    </w:p>
    <w:p>
      <w:pPr>
        <w:pStyle w:val="Heading2"/>
        <w:spacing w:after="200" w:before="400" w:line="240"/>
        <w:jc w:val="left"/>
      </w:pPr>
      <w:r>
        <w:rPr>
          <w:rFonts w:ascii="Calibri" w:cs="Calibri" w:eastAsia="Calibri" w:hAnsi="Calibri"/>
          <w:b/>
          <w:bCs/>
          <w:color w:val="000000"/>
          <w:sz w:val="20"/>
          <w:szCs w:val="20"/>
        </w:rPr>
        <w:t xml:space="preserve">Plan estratégico</w:t>
      </w:r>
    </w:p>
    <w:p>
      <w:pPr>
        <w:spacing w:after="120" w:before="0" w:line="276"/>
        <w:jc w:val="both"/>
      </w:pPr>
      <w:r>
        <w:rPr>
          <w:rFonts w:ascii="Calibri" w:cs="Calibri" w:eastAsia="Calibri" w:hAnsi="Calibri"/>
          <w:b w:val="false"/>
          <w:bCs w:val="false"/>
          <w:color w:val="333333"/>
          <w:sz w:val="20"/>
          <w:szCs w:val="20"/>
        </w:rPr>
        <w:t xml:space="preserve">Derivado de la importancia que tiene el cumplimiento de los controles de seguridad 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ya que nos proporciona a nosotros y a nuestros clientes la certidumbre de poder proporcionar un entorno de seguridad, integridad y continuidad de nuestros servicios y datos, </w:t>
      </w:r>
      <w:r>
        <w:rPr>
          <w:rFonts w:ascii="Calibri" w:cs="Calibri" w:eastAsia="Calibri" w:hAnsi="Calibri"/>
          <w:b/>
          <w:bCs/>
          <w:color w:val="333333"/>
          <w:sz w:val="20"/>
          <w:szCs w:val="20"/>
        </w:rPr>
        <w:t xml:space="preserve">para el año 2026</w:t>
      </w:r>
      <w:r>
        <w:rPr>
          <w:rFonts w:ascii="Calibri" w:cs="Calibri" w:eastAsia="Calibri" w:hAnsi="Calibri"/>
          <w:b w:val="false"/>
          <w:bCs w:val="false"/>
          <w:color w:val="333333"/>
          <w:sz w:val="20"/>
          <w:szCs w:val="20"/>
        </w:rPr>
        <w:t xml:space="preserve"> se tienen planeados los siguientes objetivos estratégicos:</w:t>
      </w:r>
    </w:p>
    <w:p>
      <w:pPr>
        <w:spacing w:after="120" w:before="0" w:line="276"/>
        <w:jc w:val="left"/>
      </w:pPr>
      <w:r>
        <w:rPr>
          <w:rFonts w:ascii="Calibri" w:cs="Calibri" w:eastAsia="Calibri" w:hAnsi="Calibri"/>
          <w:b w:val="false"/>
          <w:bCs w:val="false"/>
          <w:color w:val="333333"/>
          <w:sz w:val="20"/>
          <w:szCs w:val="20"/>
        </w:rPr>
        <w:t xml:space="preserve">Evaluación de una herramienta de gestión de controles de seguridad como lo es ISOTOOLS:</w:t>
      </w:r>
    </w:p>
    <w:p>
      <w:pPr>
        <w:spacing w:after="120" w:before="0" w:line="276"/>
        <w:jc w:val="left"/>
      </w:pPr>
      <w:r>
        <w:rPr>
          <w:rFonts w:ascii="Calibri" w:cs="Calibri" w:eastAsia="Calibri" w:hAnsi="Calibri"/>
          <w:b/>
          <w:bCs/>
          <w:color w:val="333333"/>
          <w:sz w:val="20"/>
          <w:szCs w:val="20"/>
        </w:rPr>
        <w:t xml:space="preserve">Evaluación: Agosto 2026 a Septiembre 2026.</w:t>
      </w:r>
    </w:p>
    <w:p>
      <w:pPr>
        <w:spacing w:after="120" w:before="0" w:line="276"/>
        <w:jc w:val="left"/>
      </w:pPr>
      <w:r>
        <w:rPr>
          <w:rFonts w:ascii="Calibri" w:cs="Calibri" w:eastAsia="Calibri" w:hAnsi="Calibri"/>
          <w:b/>
          <w:bCs/>
          <w:color w:val="333333"/>
          <w:sz w:val="20"/>
          <w:szCs w:val="20"/>
        </w:rPr>
        <w:t xml:space="preserve">Adquisición: Octubre 2026 a Diciembre 2026.</w:t>
      </w:r>
    </w:p>
    <w:p>
      <w:pPr>
        <w:pStyle w:val="Heading2"/>
        <w:spacing w:after="200" w:before="400" w:line="240"/>
        <w:jc w:val="left"/>
      </w:pPr>
      <w:r>
        <w:rPr>
          <w:rFonts w:ascii="Calibri" w:cs="Calibri" w:eastAsia="Calibri" w:hAnsi="Calibri"/>
          <w:b/>
          <w:bCs/>
          <w:color w:val="000000"/>
          <w:sz w:val="20"/>
          <w:szCs w:val="20"/>
        </w:rPr>
        <w:t xml:space="preserve">Capacitaciones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agendará una capacitación de Seguridad de la información, cuando ingrese a la empresa personal nuevo, sin importar el número de ingresos, está sesión se deberá impartir en un periodo no mayor a las 3 semanas siguientes al ingreso del personal.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Revalidación de la Capacitación de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Diciembre del año en curso.</w:t>
      </w:r>
    </w:p>
    <w:p>
      <w:pPr>
        <w:pStyle w:val="Heading2"/>
        <w:spacing w:after="200" w:before="400" w:line="240"/>
        <w:jc w:val="left"/>
      </w:pPr>
      <w:r>
        <w:rPr>
          <w:rFonts w:ascii="Calibri" w:cs="Calibri" w:eastAsia="Calibri" w:hAnsi="Calibri"/>
          <w:b/>
          <w:bCs/>
          <w:color w:val="000000"/>
          <w:sz w:val="20"/>
          <w:szCs w:val="20"/>
        </w:rPr>
        <w:t xml:space="preserve">Evaluaciones</w:t>
      </w:r>
    </w:p>
    <w:p>
      <w:pPr>
        <w:spacing w:after="120" w:before="0" w:line="276"/>
        <w:jc w:val="both"/>
      </w:pPr>
      <w:r>
        <w:rPr>
          <w:rFonts w:ascii="Calibri" w:cs="Calibri" w:eastAsia="Calibri" w:hAnsi="Calibri"/>
          <w:b w:val="false"/>
          <w:bCs w:val="false"/>
          <w:color w:val="333333"/>
          <w:sz w:val="20"/>
          <w:szCs w:val="20"/>
        </w:rPr>
        <w:t xml:space="preserve">De las evaluaciones aplicadas al final de la capacitación, se considerará que un empleado está correctamente capacitado, cuando obtenga un score </w:t>
      </w:r>
      <w:r>
        <w:rPr>
          <w:rFonts w:ascii="Calibri" w:cs="Calibri" w:eastAsia="Calibri" w:hAnsi="Calibri"/>
          <w:b/>
          <w:bCs/>
          <w:color w:val="333333"/>
          <w:sz w:val="20"/>
          <w:szCs w:val="20"/>
        </w:rPr>
        <w:t xml:space="preserve">no menor a 80%,</w:t>
      </w:r>
      <w:r>
        <w:rPr>
          <w:rFonts w:ascii="Calibri" w:cs="Calibri" w:eastAsia="Calibri" w:hAnsi="Calibri"/>
          <w:b w:val="false"/>
          <w:bCs w:val="false"/>
          <w:color w:val="333333"/>
          <w:sz w:val="20"/>
          <w:szCs w:val="20"/>
        </w:rPr>
        <w:t xml:space="preserve"> ya que, en caso contrario, se tendrá por reprobado al personal, para lo cual deberá repetir el curso y ajustarse a la política correspondiente.</w:t>
      </w:r>
    </w:p>
    <w:p>
      <w:pPr>
        <w:spacing w:after="120" w:before="0" w:line="276"/>
        <w:jc w:val="both"/>
      </w:pP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tiene como objetivo que el 100% de sus colaboradores se mantengan con estatus de pase de la evaluación, con calificación no menor al 90%.</w:t>
      </w:r>
    </w:p>
    <w:p>
      <w:pPr>
        <w:pStyle w:val="Heading2"/>
        <w:spacing w:after="200" w:before="400" w:line="240"/>
        <w:jc w:val="left"/>
      </w:pPr>
      <w:r>
        <w:rPr>
          <w:rFonts w:ascii="Calibri" w:cs="Calibri" w:eastAsia="Calibri" w:hAnsi="Calibri"/>
          <w:b/>
          <w:bCs/>
          <w:color w:val="000000"/>
          <w:sz w:val="20"/>
          <w:szCs w:val="20"/>
        </w:rPr>
        <w:t xml:space="preserve">Metodología</w:t>
      </w:r>
    </w:p>
    <w:p>
      <w:pPr>
        <w:spacing w:after="120" w:before="0" w:line="276"/>
        <w:jc w:val="both"/>
      </w:pPr>
      <w:r>
        <w:rPr>
          <w:rFonts w:ascii="Calibri" w:cs="Calibri" w:eastAsia="Calibri" w:hAnsi="Calibri"/>
          <w:b w:val="false"/>
          <w:bCs w:val="false"/>
          <w:color w:val="333333"/>
          <w:sz w:val="20"/>
          <w:szCs w:val="20"/>
        </w:rPr>
        <w:t xml:space="preserve">Dentro de la estructura de seguimiento y cuidado del cumplimiento de los controles de seguridad de la información, en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se tiene como objetivo un cumplimiento cabal de al menos el 95% de los controles en todas las ocasiones que sea necesario hacer uso de estos, para esto, las </w:t>
      </w:r>
      <w:r>
        <w:rPr>
          <w:rFonts w:ascii="Calibri" w:cs="Calibri" w:eastAsia="Calibri" w:hAnsi="Calibri"/>
          <w:b/>
          <w:bCs/>
          <w:color w:val="333333"/>
          <w:sz w:val="20"/>
          <w:szCs w:val="20"/>
        </w:rPr>
        <w:t xml:space="preserve">evaluaciones semestrales del oficial de seguridad</w:t>
      </w:r>
      <w:r>
        <w:rPr>
          <w:rFonts w:ascii="Calibri" w:cs="Calibri" w:eastAsia="Calibri" w:hAnsi="Calibri"/>
          <w:b w:val="false"/>
          <w:bCs w:val="false"/>
          <w:color w:val="333333"/>
          <w:sz w:val="20"/>
          <w:szCs w:val="20"/>
        </w:rPr>
        <w:t xml:space="preserve"> serán fundamentales, para poder dar corrección inmediata y aplicar, de ser necesario, las sanciones respectivas al personal que no esté alineado con la visión de la empresa.</w:t>
      </w:r>
    </w:p>
    <w:p>
      <w:pPr>
        <w:pStyle w:val="Heading2"/>
        <w:spacing w:after="200" w:before="400" w:line="240"/>
        <w:jc w:val="left"/>
      </w:pPr>
      <w:r>
        <w:rPr>
          <w:rFonts w:ascii="Calibri" w:cs="Calibri" w:eastAsia="Calibri" w:hAnsi="Calibri"/>
          <w:b/>
          <w:bCs/>
          <w:color w:val="000000"/>
          <w:sz w:val="20"/>
          <w:szCs w:val="20"/>
        </w:rPr>
        <w:t xml:space="preserve">Balance Score Card</w:t>
      </w:r>
    </w:p>
    <w:p>
      <w:pPr>
        <w:spacing w:after="120" w:before="0" w:line="276"/>
        <w:jc w:val="both"/>
      </w:pPr>
      <w:r>
        <w:rPr>
          <w:rFonts w:ascii="Calibri" w:cs="Calibri" w:eastAsia="Calibri" w:hAnsi="Calibri"/>
          <w:b w:val="false"/>
          <w:bCs w:val="false"/>
          <w:color w:val="333333"/>
          <w:sz w:val="20"/>
          <w:szCs w:val="20"/>
        </w:rPr>
        <w:t xml:space="preserve">Se registrará como KPI el indicador de evaluación, para que, dentro de las juntas mensuales de seguimiento con la dirección, el oficial de seguridad presente los resultados esperados vs los reales.</w:t>
      </w:r>
    </w:p>
    <w:p>
      <w:r>
        <w:t xml:space="preserve"> </w:t>
      </w:r>
    </w:p>
    <w:p>
      <w:pPr>
        <w:pStyle w:val="Heading1"/>
        <w:pBdr>
          <w:bottom w:val="single" w:color="D9D9D9" w:sz="4" w:space="8"/>
        </w:pBdr>
        <w:spacing w:after="200" w:before="400" w:line="240"/>
      </w:pPr>
      <w:bookmarkStart w:name="section_9_lineamientos_de_seguridad_de_la_informacion_de_la_persona_moral" w:id="1"/>
      <w:r>
        <w:t xml:space="preserve"/>
      </w:r>
      <w:bookmarkEnd w:id="1"/>
      <w:r>
        <w:rPr>
          <w:rFonts w:ascii="Calibri" w:cs="Calibri" w:eastAsia="Calibri" w:hAnsi="Calibri"/>
          <w:b/>
          <w:bCs/>
          <w:color w:val="000000"/>
          <w:sz w:val="28"/>
          <w:szCs w:val="28"/>
        </w:rPr>
        <w:t xml:space="preserve">10. LINEAMIENTOS DE SEGURIDAD DE LA INFORMACIÓN DE LA PERSONA MORAL</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Estos lineamientos son de carácter </w:t>
      </w:r>
      <w:r>
        <w:rPr>
          <w:rFonts w:ascii="Calibri" w:cs="Calibri" w:eastAsia="Calibri" w:hAnsi="Calibri"/>
          <w:b/>
          <w:bCs/>
          <w:color w:val="333333"/>
          <w:sz w:val="20"/>
          <w:szCs w:val="20"/>
        </w:rPr>
        <w:t xml:space="preserve">mandatorio</w:t>
      </w:r>
      <w:r>
        <w:rPr>
          <w:rFonts w:ascii="Calibri" w:cs="Calibri" w:eastAsia="Calibri" w:hAnsi="Calibri"/>
          <w:b w:val="false"/>
          <w:bCs w:val="false"/>
          <w:color w:val="333333"/>
          <w:sz w:val="20"/>
          <w:szCs w:val="20"/>
        </w:rPr>
        <w:t xml:space="preserve"> para todos los accionistas, colaboradores, proveedores y terceros que tengan relación con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incumplimiento de estos será sancionado conforme a lo determinado por el comité de seguridad</w:t>
      </w:r>
    </w:p>
    <w:p>
      <w:pPr>
        <w:pStyle w:val="Heading2"/>
        <w:spacing w:after="200" w:before="400" w:line="240"/>
        <w:jc w:val="both"/>
      </w:pPr>
      <w:r>
        <w:rPr>
          <w:rFonts w:ascii="Calibri" w:cs="Calibri" w:eastAsia="Calibri" w:hAnsi="Calibri"/>
          <w:b/>
          <w:bCs/>
          <w:color w:val="000000"/>
          <w:sz w:val="20"/>
          <w:szCs w:val="20"/>
        </w:rPr>
        <w:t xml:space="preserve">Gestión y Uso Aceptable de Activos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Inventario: Todos los activos vinculados al monedero electrónico (hardware, software, red) deben estar identificados, con un propietario y responsable asignado.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Aceptable: Los activos de la empresa deben utilizarse exclusivamente para fines laborales; queda prohibida la instalación de software no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Retorno de Activos: Ante la terminación de la relación laboral, todo empleado debe devolver los activos tangibles e intangibles de forma inmediata.</w:t>
      </w:r>
    </w:p>
    <w:p>
      <w:pPr>
        <w:pStyle w:val="Heading2"/>
        <w:spacing w:after="200" w:before="400" w:line="240"/>
        <w:jc w:val="left"/>
      </w:pPr>
      <w:r>
        <w:rPr>
          <w:rFonts w:ascii="Calibri" w:cs="Calibri" w:eastAsia="Calibri" w:hAnsi="Calibri"/>
          <w:b/>
          <w:bCs/>
          <w:color w:val="000000"/>
          <w:sz w:val="20"/>
          <w:szCs w:val="20"/>
        </w:rPr>
        <w:t xml:space="preserve">Control de Acceso y Autenticación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Identificación Única: El acceso a los sistemas del monedero electrónico se realizará mediante identificadores de usuario únicos que permitan la trazabilidad de cada actividad.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Contraseñas Seguras: Se deben implementar mecanismos técnicos que obliguen al uso de contraseñas con longitud y composición robusta, prohibiendo el uso de claves por defecto.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Privilegios Mínimos: Los derechos de acceso se otorgarán bajo el principio de necesidad de saber, asegurando que los permisos correspondan estrictamente a las funciones asignadas.</w:t>
      </w:r>
    </w:p>
    <w:p>
      <w:pPr>
        <w:pStyle w:val="Heading2"/>
        <w:spacing w:after="200" w:before="400" w:line="240"/>
        <w:jc w:val="left"/>
      </w:pPr>
      <w:r>
        <w:rPr>
          <w:rFonts w:ascii="Calibri" w:cs="Calibri" w:eastAsia="Calibri" w:hAnsi="Calibri"/>
          <w:b/>
          <w:bCs/>
          <w:color w:val="000000"/>
          <w:sz w:val="20"/>
          <w:szCs w:val="20"/>
        </w:rPr>
        <w:t xml:space="preserve">Protección de la Información (Cifrado y Clasificación)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Clasificación: Toda la información relacionada con el monedero electrónico debe ser clasificada (ej. Reservada, Confidencial o Pública) para determinar su nivel de protección.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Cifrado Crítico: Los sistemas, redes y servicios que procesen datos de los contribuyentes deben implementar controles de cifrado y una gestión estricta de llaves criptográficas.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Medios Removibles: El uso de memorias USB o discos externos está restringido y requiere autorización formal para el traslado de información fuera de las oficinas.</w:t>
      </w:r>
    </w:p>
    <w:p>
      <w:pPr>
        <w:pStyle w:val="Heading2"/>
        <w:spacing w:after="200" w:before="400" w:line="240"/>
        <w:jc w:val="left"/>
      </w:pPr>
      <w:r>
        <w:rPr>
          <w:rFonts w:ascii="Calibri" w:cs="Calibri" w:eastAsia="Calibri" w:hAnsi="Calibri"/>
          <w:b/>
          <w:bCs/>
          <w:color w:val="000000"/>
          <w:sz w:val="20"/>
          <w:szCs w:val="20"/>
        </w:rPr>
        <w:t xml:space="preserve">Seguridad Física y del Entorno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Perímetros de Seguridad: Las áreas donde se procesen transacciones del monedero electrónico deben contar con perímetros definidos y controles físicos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Centro de Datos: El acceso al centro de datos está limitado estrictamente a personal autorizado, manteniendo un registro permanente de entradas y salidas.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Escritorio Limpio: Al finalizar la jornada o retirarse de su puesto, los colaboradores deben asegurar que no quede información sensible expuesta (física o digital) y bloquear sus equipos.</w:t>
      </w:r>
    </w:p>
    <w:p>
      <w:pPr>
        <w:pStyle w:val="Heading2"/>
        <w:spacing w:after="200" w:before="400" w:line="240"/>
        <w:jc w:val="left"/>
      </w:pPr>
      <w:r>
        <w:rPr>
          <w:rFonts w:ascii="Calibri" w:cs="Calibri" w:eastAsia="Calibri" w:hAnsi="Calibri"/>
          <w:b/>
          <w:bCs/>
          <w:color w:val="000000"/>
          <w:sz w:val="20"/>
          <w:szCs w:val="20"/>
        </w:rPr>
        <w:t xml:space="preserve">Seguridad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Respaldo de Información: Se realizarán respaldos periódicos de los sistemas críticos, los cuales deben ser probados y resguardados en una ubicación física fuera del centro de datos principal.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Registros de Actividad (Logs): Todos los sistemas deben generar registros de actividades de "solo lectura" que documenten quién, cuándo y qué acción realizó.</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Vulnerabilidades: Se deben realizar análisis de vulnerabilidades y pruebas de penetración de forma calendarizada sobre los activos críticos.</w:t>
      </w:r>
    </w:p>
    <w:p>
      <w:pPr>
        <w:pStyle w:val="Heading2"/>
        <w:spacing w:after="200" w:before="400" w:line="240"/>
        <w:jc w:val="left"/>
      </w:pPr>
      <w:r>
        <w:rPr>
          <w:rFonts w:ascii="Calibri" w:cs="Calibri" w:eastAsia="Calibri" w:hAnsi="Calibri"/>
          <w:b/>
          <w:bCs/>
          <w:color w:val="000000"/>
          <w:sz w:val="20"/>
          <w:szCs w:val="20"/>
        </w:rPr>
        <w:t xml:space="preserve">Trabajo Remoto y Dispositivos Móviles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Autorización: El trabajo remoto requiere una autorización previa donde se definan las condiciones, el periodo y el aprovisionamiento tecnológico necesario.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Dispositivos Móviles: El uso de teléfonos o tabletas para manejar información de contribuyentes debe seguir un procedimiento de autorización estricto</w:t>
      </w:r>
    </w:p>
    <w:p>
      <w:r>
        <w:t xml:space="preserve"> </w:t>
      </w:r>
    </w:p>
    <w:p>
      <w:pPr>
        <w:pStyle w:val="Heading1"/>
        <w:pBdr>
          <w:bottom w:val="single" w:color="D9D9D9" w:sz="4" w:space="8"/>
        </w:pBdr>
        <w:spacing w:after="200" w:before="400" w:line="240"/>
      </w:pPr>
      <w:bookmarkStart w:name="section_10_penalizaciones_por_incumplimiento_de_lo_establecido_en_la_politica" w:id="1"/>
      <w:r>
        <w:t xml:space="preserve"/>
      </w:r>
      <w:bookmarkEnd w:id="1"/>
      <w:r>
        <w:rPr>
          <w:rFonts w:ascii="Calibri" w:cs="Calibri" w:eastAsia="Calibri" w:hAnsi="Calibri"/>
          <w:b/>
          <w:bCs/>
          <w:color w:val="000000"/>
          <w:sz w:val="28"/>
          <w:szCs w:val="28"/>
        </w:rPr>
        <w:t xml:space="preserve">11. PENALIZACIONES POR INCUMPLIMIENTO DE LO ESTABLECIDO EN LA POLÍTICA</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observancia y cumplimiento de esta política es de carácter mandatorio, por lo que el incumplimiento u omisión de lo descrito en este documento, ya sea de forma dolosa o culposa, será sancionado conforme lo determine el comité de seguridad en turno.</w:t>
      </w:r>
    </w:p>
    <w:p>
      <w:r>
        <w:t xml:space="preserve"> </w:t>
      </w:r>
    </w:p>
    <w:p>
      <w:pPr>
        <w:pStyle w:val="Heading1"/>
        <w:pBdr>
          <w:bottom w:val="single" w:color="D9D9D9" w:sz="4" w:space="8"/>
        </w:pBdr>
        <w:spacing w:after="200" w:before="400" w:line="240"/>
      </w:pPr>
      <w:bookmarkStart w:name="section_11_lineamientos_de_atencion_a_situaciones_fortuitas_relacionadas_con_la_seguridad_de_la_informacion" w:id="1"/>
      <w:r>
        <w:t xml:space="preserve"/>
      </w:r>
      <w:bookmarkEnd w:id="1"/>
      <w:r>
        <w:rPr>
          <w:rFonts w:ascii="Calibri" w:cs="Calibri" w:eastAsia="Calibri" w:hAnsi="Calibri"/>
          <w:b/>
          <w:bCs/>
          <w:color w:val="000000"/>
          <w:sz w:val="28"/>
          <w:szCs w:val="28"/>
        </w:rPr>
        <w:t xml:space="preserve">12. LINEAMIENTOS DE ATENCIÓN A SITUACIONES FORTUITAS RELACIONADAS CON LA SEGURIDAD DE LA INFORMACIÓN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Estos lineamientos regulan la relación con proveedores y personal ajeno que tenga acceso directo o indirecto a la información de los contribuyentes.</w:t>
      </w:r>
    </w:p>
    <w:p>
      <w:pPr>
        <w:pStyle w:val="Heading2"/>
        <w:spacing w:after="200" w:before="400" w:line="240"/>
        <w:jc w:val="both"/>
      </w:pPr>
      <w:r>
        <w:rPr>
          <w:rFonts w:ascii="Calibri" w:cs="Calibri" w:eastAsia="Calibri" w:hAnsi="Calibri"/>
          <w:b/>
          <w:bCs/>
          <w:color w:val="000000"/>
          <w:sz w:val="20"/>
          <w:szCs w:val="20"/>
        </w:rPr>
        <w:t xml:space="preserve">Formalización Contractual y Cláusulas Obligatorias</w:t>
      </w:r>
    </w:p>
    <w:p>
      <w:pPr>
        <w:spacing w:after="120" w:before="0" w:line="276"/>
        <w:jc w:val="both"/>
      </w:pPr>
      <w:r>
        <w:rPr>
          <w:rFonts w:ascii="Calibri" w:cs="Calibri" w:eastAsia="Calibri" w:hAnsi="Calibri"/>
          <w:b w:val="false"/>
          <w:bCs w:val="false"/>
          <w:color w:val="333333"/>
          <w:sz w:val="20"/>
          <w:szCs w:val="20"/>
        </w:rPr>
        <w:t xml:space="preserve">Toda relación comercial con proveedores debe estar amparada por un contrato firmado que incluya de forma obligatoria las siguientes cláusulas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Seguridad de la Información: Compromiso expreso de cumplir con los controles establecidos en la presente política.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Propiedad Intelectual: Cláusulas de protección de patentes, marcas y derechos de autor de </w:t>
      </w:r>
      <w:r>
        <w:rPr>
          <w:rFonts w:ascii="Calibri" w:cs="Calibri" w:eastAsia="Calibri" w:hAnsi="Calibri"/>
          <w:b/>
          <w:bCs/>
          <w:color w:val="333333"/>
          <w:sz w:val="20"/>
          <w:szCs w:val="20"/>
        </w:rPr>
        <w:t xml:space="preserve">SENDERO FUEL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Confidencialidad: Prohibición estricta de divulgar información de los contribuyentes o datos internos de la operación.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Disponibilidad e Integridad: Garantías de que la información será veraz y estará accesible según los niveles de servicio acordados.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Derecho a Auditoría: Inclusión de una cláusula que permita a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o autoridades competentes (SAT) realizar verificaciones de los controles de seguridad del proveedor.</w:t>
      </w:r>
    </w:p>
    <w:p>
      <w:pPr>
        <w:pStyle w:val="Heading2"/>
        <w:spacing w:after="200" w:before="400" w:line="240"/>
        <w:jc w:val="both"/>
      </w:pPr>
      <w:r>
        <w:rPr>
          <w:rFonts w:ascii="Calibri" w:cs="Calibri" w:eastAsia="Calibri" w:hAnsi="Calibri"/>
          <w:b/>
          <w:bCs/>
          <w:color w:val="000000"/>
          <w:sz w:val="20"/>
          <w:szCs w:val="20"/>
        </w:rPr>
        <w:t xml:space="preserve">Gestión de Acceso para Terceros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Autorización Formal: El acceso a la información de los contribuyentes por parte de proveedores debe ser autorizado previamente por el Oficial de Seguridad o la Dirección.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Individuales: Queda estrictamente prohibido el uso de cuentas genéricas para personal externo; cada consultor o técnico debe tener una identidad digital rastreable.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Conexiones Remotas: El acceso remoto de proveedores debe realizarse a través de canales cifrados (VPN) y ser inhabilitado inmediatamente después de concluir la actividad autorizada.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de Accesos: Ante la terminación del contrato o cambio de personal del proveedor, se deben revocar todos los privilegios de acceso en un plazo no mayor a 24 horas.</w:t>
      </w:r>
    </w:p>
    <w:p>
      <w:pPr>
        <w:pStyle w:val="Heading2"/>
        <w:spacing w:after="200" w:before="400" w:line="240"/>
        <w:jc w:val="both"/>
      </w:pPr>
      <w:r>
        <w:rPr>
          <w:rFonts w:ascii="Calibri" w:cs="Calibri" w:eastAsia="Calibri" w:hAnsi="Calibri"/>
          <w:b/>
          <w:bCs/>
          <w:color w:val="000000"/>
          <w:sz w:val="20"/>
          <w:szCs w:val="20"/>
        </w:rPr>
        <w:t xml:space="preserve">Acuerdos de Confidencialidad (NDA)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Firma Obligatoria: Todos los proveedores y personal externo deben firmar un convenio de confidencialidad antes de recibir cualquier activo de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Proveedores en la Nube: Se debe contar con un convenio firmado específicamente con el proveedor que proporciona los servicios de hosting y servidores.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Excepciones: Se podrá omitir el convenio únicamente con proveedores extranjeros de servicios digitales en la nube que no manejen información categorizada como RESERVADA o CONFIDENCIAL.</w:t>
      </w:r>
    </w:p>
    <w:p>
      <w:pPr>
        <w:pStyle w:val="Heading2"/>
        <w:spacing w:after="200" w:before="400" w:line="240"/>
        <w:jc w:val="both"/>
      </w:pPr>
      <w:r>
        <w:rPr>
          <w:rFonts w:ascii="Calibri" w:cs="Calibri" w:eastAsia="Calibri" w:hAnsi="Calibri"/>
          <w:b/>
          <w:bCs/>
          <w:color w:val="000000"/>
          <w:sz w:val="20"/>
          <w:szCs w:val="20"/>
        </w:rPr>
        <w:t xml:space="preserve">Monitoreo y Notificación de Incidentes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Mecanismos de Notificación: Los proveedores deben contar con un protocolo para informar 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 forma inmediata sobre cualquier incidente de seguridad que afecte sus sistemas y que pueda impactar los datos de nuestros contribuyentes.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Medios de Monitoreo: SENDERO FUEL se reserva el derecho de implementar herramientas de monitoreo sobre las actividades realizadas por personal externo en nuestra infraestructura.</w:t>
      </w:r>
    </w:p>
    <w:p>
      <w:pPr>
        <w:pStyle w:val="Heading2"/>
        <w:spacing w:after="200" w:before="400" w:line="240"/>
        <w:jc w:val="both"/>
      </w:pPr>
      <w:r>
        <w:rPr>
          <w:rFonts w:ascii="Calibri" w:cs="Calibri" w:eastAsia="Calibri" w:hAnsi="Calibri"/>
          <w:b/>
          <w:bCs/>
          <w:color w:val="000000"/>
          <w:sz w:val="20"/>
          <w:szCs w:val="20"/>
        </w:rPr>
        <w:t xml:space="preserve">Atención a Situaciones Fortuitas con Proveedores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 caso de fallas masivas en la infraestructura del proveedor, este debe seguir los protocolos de recuperación de desastres alineados al Plan de Continuidad de </w:t>
      </w:r>
      <w:r>
        <w:rPr>
          <w:rFonts w:ascii="Calibri" w:cs="Calibri" w:eastAsia="Calibri" w:hAnsi="Calibri"/>
          <w:b/>
          <w:bCs/>
          <w:color w:val="333333"/>
          <w:sz w:val="20"/>
          <w:szCs w:val="20"/>
        </w:rPr>
        <w:t xml:space="preserve">SENDERO FUEL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proveedor debe presentar documentación que describa sus esquemas implantados para asegurar el control y seguridad de la información ante emergencias</w:t>
      </w:r>
    </w:p>
    <w:p>
      <w:r>
        <w:t xml:space="preserve"> </w:t>
      </w:r>
    </w:p>
    <w:p>
      <w:pPr>
        <w:pStyle w:val="Heading1"/>
        <w:pBdr>
          <w:bottom w:val="single" w:color="D9D9D9" w:sz="4" w:space="8"/>
        </w:pBdr>
        <w:spacing w:after="200" w:before="400" w:line="240"/>
      </w:pPr>
      <w:bookmarkStart w:name="section_12_lineamientos_de_seguridad_de_la_informacion_para_proveedores_y_todo_aquel_personal_ajeno_a_la_persona_moral_que_tengan_acceso_a_informacion_de_los_contribuyentes" w:id="1"/>
      <w:r>
        <w:t xml:space="preserve"/>
      </w:r>
      <w:bookmarkEnd w:id="1"/>
      <w:r>
        <w:rPr>
          <w:rFonts w:ascii="Calibri" w:cs="Calibri" w:eastAsia="Calibri" w:hAnsi="Calibri"/>
          <w:b/>
          <w:bCs/>
          <w:color w:val="000000"/>
          <w:sz w:val="28"/>
          <w:szCs w:val="28"/>
        </w:rPr>
        <w:t xml:space="preserve">13. LINEAMIENTOS DE SEGURIDAD DE LA INFORMACIÓN PARA PROVEEDORES Y TODO AQUEL PERSONAL AJENO A LA PERSONA MORAL QUE TENGAN ACCESO A INFORMACIÓN DE LOS CONTRIBUYENTES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Se deben de cumplir los lineamientos establecidos en la política </w:t>
      </w:r>
      <w:r>
        <w:rPr>
          <w:rFonts w:ascii="Calibri" w:cs="Calibri" w:eastAsia="Calibri" w:hAnsi="Calibri"/>
          <w:b/>
          <w:bCs/>
          <w:color w:val="333333"/>
          <w:sz w:val="20"/>
          <w:szCs w:val="20"/>
        </w:rPr>
        <w:t xml:space="preserve">PO-SF-002 contratación de proveedores (Alcance completo).</w:t>
      </w:r>
    </w:p>
    <w:p>
      <w:pPr>
        <w:spacing w:after="120" w:before="0" w:line="276"/>
        <w:jc w:val="both"/>
      </w:pPr>
      <w:r>
        <w:rPr>
          <w:rFonts w:ascii="Calibri" w:cs="Calibri" w:eastAsia="Calibri" w:hAnsi="Calibri"/>
          <w:b w:val="false"/>
          <w:bCs w:val="false"/>
          <w:color w:val="333333"/>
          <w:sz w:val="20"/>
          <w:szCs w:val="20"/>
        </w:rPr>
        <w:t xml:space="preserve">Todos los proveedores que tengan relación con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su operación como </w:t>
      </w:r>
      <w:r>
        <w:rPr>
          <w:rFonts w:ascii="Calibri" w:cs="Calibri" w:eastAsia="Calibri" w:hAnsi="Calibri"/>
          <w:b/>
          <w:bCs/>
          <w:color w:val="333333"/>
          <w:sz w:val="20"/>
          <w:szCs w:val="20"/>
        </w:rPr>
        <w:t xml:space="preserve">PCMEC (Proveedor Certificado de Monedero Electrónico de Combustíbles), </w:t>
      </w:r>
      <w:r>
        <w:rPr>
          <w:rFonts w:ascii="Calibri" w:cs="Calibri" w:eastAsia="Calibri" w:hAnsi="Calibri"/>
          <w:b w:val="false"/>
          <w:bCs w:val="false"/>
          <w:color w:val="333333"/>
          <w:sz w:val="20"/>
          <w:szCs w:val="20"/>
        </w:rPr>
        <w:t xml:space="preserve">deberán contar con un </w:t>
      </w:r>
      <w:r>
        <w:rPr>
          <w:rFonts w:ascii="Calibri" w:cs="Calibri" w:eastAsia="Calibri" w:hAnsi="Calibri"/>
          <w:b/>
          <w:bCs/>
          <w:color w:val="333333"/>
          <w:sz w:val="20"/>
          <w:szCs w:val="20"/>
        </w:rPr>
        <w:t xml:space="preserve">convenido de confidencialidad</w:t>
      </w:r>
      <w:r>
        <w:rPr>
          <w:rFonts w:ascii="Calibri" w:cs="Calibri" w:eastAsia="Calibri" w:hAnsi="Calibri"/>
          <w:b w:val="false"/>
          <w:bCs w:val="false"/>
          <w:color w:val="333333"/>
          <w:sz w:val="20"/>
          <w:szCs w:val="20"/>
        </w:rPr>
        <w:t xml:space="preserve">. En el caso de proveedores extranjeros que presten servicios digitales en la nube y que no manejen por sus plataformas información categorizada como </w:t>
      </w:r>
      <w:r>
        <w:rPr>
          <w:rFonts w:ascii="Calibri" w:cs="Calibri" w:eastAsia="Calibri" w:hAnsi="Calibri"/>
          <w:b/>
          <w:bCs/>
          <w:color w:val="333333"/>
          <w:sz w:val="20"/>
          <w:szCs w:val="20"/>
        </w:rPr>
        <w:t xml:space="preserve">RESERVADA o CONFIDENCIAL, </w:t>
      </w:r>
      <w:r>
        <w:rPr>
          <w:rFonts w:ascii="Calibri" w:cs="Calibri" w:eastAsia="Calibri" w:hAnsi="Calibri"/>
          <w:b w:val="false"/>
          <w:bCs w:val="false"/>
          <w:color w:val="333333"/>
          <w:sz w:val="20"/>
          <w:szCs w:val="20"/>
        </w:rPr>
        <w:t xml:space="preserve">se puede omitir este requerimiento.</w:t>
      </w:r>
    </w:p>
    <w:p>
      <w:pPr>
        <w:spacing w:after="120" w:before="0" w:line="276"/>
        <w:jc w:val="both"/>
      </w:pPr>
      <w:r>
        <w:rPr>
          <w:rFonts w:ascii="Calibri" w:cs="Calibri" w:eastAsia="Calibri" w:hAnsi="Calibri"/>
          <w:b w:val="false"/>
          <w:bCs w:val="false"/>
          <w:color w:val="333333"/>
          <w:sz w:val="20"/>
          <w:szCs w:val="20"/>
        </w:rPr>
        <w:t xml:space="preserve">Se deberá tener un convenio firmado de confidencialidad con el proveedor en la nube que proporciona los servicios de hosting de servidores</w:t>
      </w:r>
      <w:r>
        <w:rPr>
          <w:rFonts w:ascii="Calibri" w:cs="Calibri" w:eastAsia="Calibri" w:hAnsi="Calibri"/>
          <w:b/>
          <w:bCs/>
          <w:color w:val="333333"/>
          <w:sz w:val="20"/>
          <w:szCs w:val="20"/>
        </w:rPr>
        <w:t xml:space="preserve">.</w:t>
      </w:r>
    </w:p>
    <w:p>
      <w:pPr>
        <w:spacing w:after="120" w:before="0" w:line="276"/>
        <w:jc w:val="both"/>
      </w:pPr>
      <w:r>
        <w:rPr>
          <w:rFonts w:ascii="Calibri" w:cs="Calibri" w:eastAsia="Calibri" w:hAnsi="Calibri"/>
          <w:b w:val="false"/>
          <w:bCs w:val="false"/>
          <w:color w:val="333333"/>
          <w:sz w:val="20"/>
          <w:szCs w:val="20"/>
        </w:rPr>
        <w:t xml:space="preserve">Los servicios contratados a terceros podrán ser de forma permanente en compra, renta o comodato, según acuerden las partes.</w:t>
      </w:r>
    </w:p>
    <w:p>
      <w:pPr>
        <w:spacing w:after="120" w:before="0" w:line="276"/>
        <w:jc w:val="both"/>
      </w:pPr>
      <w:r>
        <w:rPr>
          <w:rFonts w:ascii="Calibri" w:cs="Calibri" w:eastAsia="Calibri" w:hAnsi="Calibri"/>
          <w:b w:val="false"/>
          <w:bCs w:val="false"/>
          <w:color w:val="333333"/>
          <w:sz w:val="20"/>
          <w:szCs w:val="20"/>
        </w:rPr>
        <w:t xml:space="preserve">En la contratación de bienes y servicios, se deberá de dejar bajo contrato, el tipo de licencia que se está otorgando 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 el uso del producto o servicio en cuestión. En el caso de proveedores extranjeros que presten servicios digitales en la nube y que no manejen por sus plataformas información categorizada como </w:t>
      </w:r>
      <w:r>
        <w:rPr>
          <w:rFonts w:ascii="Calibri" w:cs="Calibri" w:eastAsia="Calibri" w:hAnsi="Calibri"/>
          <w:b/>
          <w:bCs/>
          <w:color w:val="333333"/>
          <w:sz w:val="20"/>
          <w:szCs w:val="20"/>
        </w:rPr>
        <w:t xml:space="preserve">CONFIDENCIAL, </w:t>
      </w:r>
      <w:r>
        <w:rPr>
          <w:rFonts w:ascii="Calibri" w:cs="Calibri" w:eastAsia="Calibri" w:hAnsi="Calibri"/>
          <w:b w:val="false"/>
          <w:bCs w:val="false"/>
          <w:color w:val="333333"/>
          <w:sz w:val="20"/>
          <w:szCs w:val="20"/>
        </w:rPr>
        <w:t xml:space="preserve">se puede omitir este requerimiento.</w:t>
      </w:r>
    </w:p>
    <w:p>
      <w:pPr>
        <w:spacing w:after="120" w:before="0" w:line="276"/>
        <w:jc w:val="both"/>
      </w:pPr>
      <w:r>
        <w:rPr>
          <w:rFonts w:ascii="Calibri" w:cs="Calibri" w:eastAsia="Calibri" w:hAnsi="Calibri"/>
          <w:b w:val="false"/>
          <w:bCs w:val="false"/>
          <w:color w:val="333333"/>
          <w:sz w:val="20"/>
          <w:szCs w:val="20"/>
        </w:rPr>
        <w:t xml:space="preserve">Debe quedar establecido bajo contrato, en caso de que aplique, las cláusulas relacionadas con el </w:t>
      </w:r>
      <w:r>
        <w:rPr>
          <w:rFonts w:ascii="Calibri" w:cs="Calibri" w:eastAsia="Calibri" w:hAnsi="Calibri"/>
          <w:b/>
          <w:bCs/>
          <w:color w:val="333333"/>
          <w:sz w:val="20"/>
          <w:szCs w:val="20"/>
        </w:rPr>
        <w:t xml:space="preserve">uso de patentes, marcas y derechos de autor</w:t>
      </w:r>
      <w:r>
        <w:rPr>
          <w:rFonts w:ascii="Calibri" w:cs="Calibri" w:eastAsia="Calibri" w:hAnsi="Calibri"/>
          <w:b w:val="false"/>
          <w:bCs w:val="false"/>
          <w:color w:val="333333"/>
          <w:sz w:val="20"/>
          <w:szCs w:val="20"/>
        </w:rPr>
        <w:t xml:space="preserve">.</w:t>
      </w:r>
    </w:p>
    <w:p>
      <w:pPr>
        <w:spacing w:after="120" w:before="0" w:line="276"/>
        <w:jc w:val="both"/>
      </w:pPr>
      <w:r>
        <w:rPr>
          <w:rFonts w:ascii="Calibri" w:cs="Calibri" w:eastAsia="Calibri" w:hAnsi="Calibri"/>
          <w:b w:val="false"/>
          <w:bCs w:val="false"/>
          <w:color w:val="333333"/>
          <w:sz w:val="20"/>
          <w:szCs w:val="20"/>
        </w:rPr>
        <w:t xml:space="preserve">En caso de que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tercerice servicios relacionados para la prestación del servicio de </w:t>
      </w:r>
      <w:r>
        <w:rPr>
          <w:rFonts w:ascii="Calibri" w:cs="Calibri" w:eastAsia="Calibri" w:hAnsi="Calibri"/>
          <w:b/>
          <w:bCs/>
          <w:color w:val="333333"/>
          <w:sz w:val="20"/>
          <w:szCs w:val="20"/>
        </w:rPr>
        <w:t xml:space="preserve">Monedero Electrónico, </w:t>
      </w:r>
      <w:r>
        <w:rPr>
          <w:rFonts w:ascii="Calibri" w:cs="Calibri" w:eastAsia="Calibri" w:hAnsi="Calibri"/>
          <w:b w:val="false"/>
          <w:bCs w:val="false"/>
          <w:color w:val="333333"/>
          <w:sz w:val="20"/>
          <w:szCs w:val="20"/>
        </w:rPr>
        <w:t xml:space="preserve">deberá quedar en contrato, los alcances y limitaciones.</w:t>
      </w:r>
    </w:p>
    <w:p>
      <w:r>
        <w:t xml:space="preserve"> </w:t>
      </w:r>
    </w:p>
    <w:p>
      <w:pPr>
        <w:pStyle w:val="Heading1"/>
        <w:pBdr>
          <w:bottom w:val="single" w:color="D9D9D9" w:sz="4" w:space="8"/>
        </w:pBdr>
        <w:spacing w:after="200" w:before="400" w:line="240"/>
      </w:pPr>
      <w:bookmarkStart w:name="section_13_divulgacion_de_la_politica_de_seguridad_de_la_informacion" w:id="1"/>
      <w:r>
        <w:t xml:space="preserve"/>
      </w:r>
      <w:bookmarkEnd w:id="1"/>
      <w:r>
        <w:rPr>
          <w:rFonts w:ascii="Calibri" w:cs="Calibri" w:eastAsia="Calibri" w:hAnsi="Calibri"/>
          <w:b/>
          <w:bCs/>
          <w:color w:val="000000"/>
          <w:sz w:val="28"/>
          <w:szCs w:val="28"/>
        </w:rPr>
        <w:t xml:space="preserve">14. DIVULGACIÓN DE LA POLÍTICA DE SEGURIDAD DE LA INFORMACIÓN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Con el objetivo de que todo el personal interno y externo cumpla con los lineamientos de la presente política, se deberán de considerar los siguientes medios de divulgación:</w:t>
      </w:r>
    </w:p>
    <w:p>
      <w:pPr>
        <w:spacing w:after="120" w:before="0" w:line="276"/>
        <w:jc w:val="left"/>
      </w:pPr>
      <w:r>
        <w:rPr>
          <w:rFonts w:ascii="Calibri" w:cs="Calibri" w:eastAsia="Calibri" w:hAnsi="Calibri"/>
          <w:b w:val="false"/>
          <w:bCs w:val="false"/>
          <w:color w:val="333333"/>
          <w:sz w:val="20"/>
          <w:szCs w:val="20"/>
        </w:rPr>
        <w:t xml:space="preserve">Personal contratado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deberá de enviar un correo electrónico a la cuenta empresarial de cada empleado.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realizará la impresión de la presente política y se colocará en lugar visible dentro de cada área de trabajo.</w:t>
      </w:r>
    </w:p>
    <w:p>
      <w:pPr>
        <w:spacing w:after="120" w:before="0" w:line="276"/>
        <w:jc w:val="left"/>
      </w:pPr>
      <w:r>
        <w:rPr>
          <w:rFonts w:ascii="Calibri" w:cs="Calibri" w:eastAsia="Calibri" w:hAnsi="Calibri"/>
          <w:b w:val="false"/>
          <w:bCs w:val="false"/>
          <w:color w:val="333333"/>
          <w:sz w:val="20"/>
          <w:szCs w:val="20"/>
        </w:rPr>
        <w:t xml:space="preserve">Personal externo a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(Distribuidores, Proveedores, personal itinerante)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deberá de enviar un correo electrónico a cada uno de los involucrados, para hacer de su conocimiento la presente política.</w:t>
      </w:r>
    </w:p>
    <w:p>
      <w:r>
        <w:t xml:space="preserve"> </w:t>
      </w:r>
    </w:p>
    <w:p>
      <w:pPr>
        <w:pStyle w:val="Heading1"/>
        <w:pBdr>
          <w:bottom w:val="single" w:color="D9D9D9" w:sz="4" w:space="8"/>
        </w:pBdr>
        <w:spacing w:after="200" w:before="400" w:line="240"/>
      </w:pPr>
      <w:bookmarkStart w:name="section_14_periodicidad_de_revision_de_la_politica" w:id="1"/>
      <w:r>
        <w:t xml:space="preserve"/>
      </w:r>
      <w:bookmarkEnd w:id="1"/>
      <w:r>
        <w:rPr>
          <w:rFonts w:ascii="Calibri" w:cs="Calibri" w:eastAsia="Calibri" w:hAnsi="Calibri"/>
          <w:b/>
          <w:bCs/>
          <w:color w:val="000000"/>
          <w:sz w:val="28"/>
          <w:szCs w:val="28"/>
        </w:rPr>
        <w:t xml:space="preserve">15. PERIODICIDAD DE REVISIÓN DE LA POLÍTICA</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1. Revisión Ordinaria</w:t>
      </w:r>
    </w:p>
    <w:p>
      <w:pPr>
        <w:spacing w:after="120" w:before="0" w:line="276"/>
        <w:jc w:val="both"/>
      </w:pPr>
      <w:r>
        <w:rPr>
          <w:rFonts w:ascii="Calibri" w:cs="Calibri" w:eastAsia="Calibri" w:hAnsi="Calibri"/>
          <w:b w:val="false"/>
          <w:bCs w:val="false"/>
          <w:color w:val="333333"/>
          <w:sz w:val="20"/>
          <w:szCs w:val="20"/>
        </w:rPr>
        <w:t xml:space="preserve">La presente política deberá ser revisada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left"/>
      </w:pPr>
      <w:r>
        <w:rPr>
          <w:rFonts w:ascii="Calibri" w:cs="Calibri" w:eastAsia="Calibri" w:hAnsi="Calibri"/>
          <w:b/>
          <w:bCs/>
          <w:color w:val="333333"/>
          <w:sz w:val="20"/>
          <w:szCs w:val="20"/>
        </w:rPr>
        <w:t xml:space="preserve">2. 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esta política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left"/>
      </w:pPr>
      <w:r>
        <w:rPr>
          <w:rFonts w:ascii="Calibri" w:cs="Calibri" w:eastAsia="Calibri" w:hAnsi="Calibri"/>
          <w:b/>
          <w:bCs/>
          <w:color w:val="333333"/>
          <w:sz w:val="20"/>
          <w:szCs w:val="20"/>
        </w:rPr>
        <w:t xml:space="preserve">3. 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5_glosario" w:id="1"/>
      <w:r>
        <w:rPr>
          <w:rFonts w:ascii="Calibri" w:cs="Calibri" w:eastAsia="Calibri" w:hAnsi="Calibri"/>
          <w:b/>
          <w:bCs/>
          <w:color w:val="000000"/>
          <w:sz w:val="28"/>
          <w:szCs w:val="28"/>
        </w:rPr>
        <w:t xml:space="preserve">16.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seguridad de la información</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31/3/2026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3</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seguridad de la información</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31/3/2026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3</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seguridad de la informacin</dc:title>
  <dc:subject>Poltica</dc:subject>
  <dc:creator>Administrador MAPLINKS</dc:creator>
  <cp:keywords>PO-SF-001</cp:keywords>
  <dc:description>Documento PO-SF-001</dc:description>
  <cp:lastModifiedBy>Administrador MAPLINKS</cp:lastModifiedBy>
  <cp:revision>3</cp:revision>
  <dcterms:created xsi:type="dcterms:W3CDTF">2026-09-30T21:32:53.499Z</dcterms:created>
  <dcterms:modified xsi:type="dcterms:W3CDTF">2026-09-30T21:32:53.499Z</dcterms:modified>
</cp:coreProperties>
</file>

<file path=docProps/custom.xml><?xml version="1.0" encoding="utf-8"?>
<Properties xmlns="http://schemas.openxmlformats.org/officeDocument/2006/custom-properties" xmlns:vt="http://schemas.openxmlformats.org/officeDocument/2006/docPropsVTypes"/>
</file>